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 Unicode MS" w:hAnsi="Arial Unicode MS" w:eastAsia="Arial Unicode MS"/>
          <w:b/>
          <w:color w:val="161616"/>
          <w:sz w:val="56"/>
        </w:rPr>
        <w:t>北大问教知识库与四种问答模式说明</w:t>
      </w:r>
    </w:p>
    <w:p>
      <w:pPr>
        <w:spacing w:after="600"/>
        <w:jc w:val="center"/>
      </w:pPr>
      <w:r>
        <w:rPr>
          <w:rFonts w:ascii="Arial Unicode MS" w:hAnsi="Arial Unicode MS" w:eastAsia="Arial Unicode MS"/>
          <w:color w:val="666666"/>
          <w:sz w:val="26"/>
        </w:rPr>
        <w:t>当前内容架构、保存调用方式与面向教师的工作流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本报告依据当前工作区中的语料目录、配置文件和问答代码整理。它回答两个问题：现在有哪些知识、这些知识怎样被保存和调用；四种模式分别面向什么任务、如何检索证据并组织答案。</w:t>
      </w:r>
    </w:p>
    <w:p>
      <w:pPr>
        <w:spacing w:before="400"/>
      </w:pPr>
      <w:r>
        <w:rPr>
          <w:rFonts w:ascii="Arial Unicode MS" w:hAnsi="Arial Unicode MS" w:eastAsia="Arial Unicode MS"/>
          <w:b/>
          <w:color w:val="183A5A"/>
          <w:sz w:val="24"/>
        </w:rPr>
        <w:t>报告结构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第一部分　当前知识库：内容、来源、保存形式与调用方式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第二部分　四种问答模式：典型任务、教师提问、工作流与输出契约</w:t>
      </w:r>
    </w:p>
    <w:p>
      <w:pPr>
        <w:spacing w:before="1400"/>
        <w:jc w:val="center"/>
      </w:pPr>
      <w:r>
        <w:rPr>
          <w:rFonts w:ascii="Arial Unicode MS" w:hAnsi="Arial Unicode MS" w:eastAsia="Arial Unicode MS"/>
          <w:color w:val="666666"/>
          <w:sz w:val="19"/>
        </w:rPr>
        <w:t>版本日期　2026年10月9日</w:t>
      </w:r>
    </w:p>
    <w:p>
      <w:pPr>
        <w:pStyle w:val="Heading1"/>
        <w:keepNext/>
      </w:pPr>
      <w:r>
        <w:t>第一部分　当前知识库</w:t>
      </w:r>
    </w:p>
    <w:p>
      <w:pPr>
        <w:pStyle w:val="Heading2"/>
        <w:keepNext/>
      </w:pPr>
      <w:r>
        <w:t>1. 总体结构与边界</w:t>
      </w:r>
    </w:p>
    <w:p>
      <w:r>
        <w:rPr>
          <w:rFonts w:ascii="Arial Unicode MS" w:hAnsi="Arial Unicode MS" w:eastAsia="Arial Unicode MS"/>
          <w:color w:val="161616"/>
        </w:rPr>
        <w:t>当前知识体系不是一个单一文件夹，而是按“完整课程、教学案例、理论方法、学科教学、校内实践、AI专题和历史评估”分库管理。这样既能按任务缩小检索范围，也能保留不同证据类型之间的边界。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课程案例　</w:t>
      </w:r>
      <w:r>
        <w:rPr>
          <w:rFonts w:ascii="Arial Unicode MS" w:hAnsi="Arial Unicode MS" w:eastAsia="Arial Unicode MS"/>
          <w:color w:val="161616"/>
        </w:rPr>
        <w:t>回答“同类课程通常教什么、怎样安排周次与考核”。核心单位是一门完整课程或一个课程版本。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教学案例　</w:t>
      </w:r>
      <w:r>
        <w:rPr>
          <w:rFonts w:ascii="Arial Unicode MS" w:hAnsi="Arial Unicode MS" w:eastAsia="Arial Unicode MS"/>
          <w:color w:val="161616"/>
        </w:rPr>
        <w:t>回答“某位教师在某个具体情境中采取了什么做法、产生了什么结果”。核心单位是一项改革、活动或课堂干预。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理论与方法　</w:t>
      </w:r>
      <w:r>
        <w:rPr>
          <w:rFonts w:ascii="Arial Unicode MS" w:hAnsi="Arial Unicode MS" w:eastAsia="Arial Unicode MS"/>
          <w:color w:val="161616"/>
        </w:rPr>
        <w:t>回答“为什么这样设计、适用条件和风险是什么”，用于解释、校验并补足案例经验。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动态证据　</w:t>
      </w:r>
      <w:r>
        <w:rPr>
          <w:rFonts w:ascii="Arial Unicode MS" w:hAnsi="Arial Unicode MS" w:eastAsia="Arial Unicode MS"/>
          <w:color w:val="161616"/>
        </w:rPr>
        <w:t>教师上传的作业、课堂表现和系统历史评估报告不是公共案例，而是学情诊断时优先使用的用户证据。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当前状态提示：磁盘语料已经完成新目录整理，但本次更新后尚未统一重建 RAG。现有 Chroma 仍可见旧的 course_syllabi 集合，以及 edu_theory、pku_salon、eval_reports；新的 course_cases 和新版 teaching_cases 等尚未完整同步。因此下文把“已保存”与“当前已可检索”分开说明。</w:t>
      </w:r>
    </w:p>
    <w:p>
      <w:pPr>
        <w:pStyle w:val="Heading2"/>
        <w:keepNext/>
      </w:pPr>
      <w:r>
        <w:t>2. 国外公开课程案例库 course_cases</w:t>
      </w:r>
    </w:p>
    <w:p>
      <w:r>
        <w:rPr>
          <w:rFonts w:ascii="Arial Unicode MS" w:hAnsi="Arial Unicode MS" w:eastAsia="Arial Unicode MS"/>
          <w:color w:val="161616"/>
        </w:rPr>
        <w:t>用途是相似课程匹配、大纲设计和教学设计参考。当前共 2,640 个课程或课程版本、15,993 个英文页面。英文正文不翻译、不改写；每门课程另设唯一一份中文检索摘要，解决中文提问与英文原文之间的匹配问题。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MIT OpenCourseWare：2,587 个课程版本、14,663 个英文页面，覆盖公开课程中的课程描述、大纲、日历、作业、讲义、项目和教师洞见等实际可得栏目。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Open Yale Courses：40 门课程、1,100 个英文页面或课次材料。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Harvard CS50：11 门当前活跃课程、193 个英文页面，包括旗舰 CS50x 和官方课程列表中的另外 10 门；以 2026年10月9日抓取日期标识版本。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Stanford CS106A：Autumn 2026，30 个英文页面；截至抓取日学期仍在进行。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CMU 15-122：Fall 2026，7 个英文页面；截至抓取日学期仍在进行。</w:t>
      </w:r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1">
        <w:r>
          <w:rPr>
            <w:color w:val="1F5A92"/>
            <w:u w:val="single"/>
            <w:rFonts w:ascii="Arial Unicode MS" w:hAnsi="Arial Unicode MS" w:eastAsia="Arial Unicode MS"/>
          </w:rPr>
          <w:t>MIT OpenCourseWare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2">
        <w:r>
          <w:rPr>
            <w:color w:val="1F5A92"/>
            <w:u w:val="single"/>
            <w:rFonts w:ascii="Arial Unicode MS" w:hAnsi="Arial Unicode MS" w:eastAsia="Arial Unicode MS"/>
          </w:rPr>
          <w:t>Open Yale Courses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3">
        <w:r>
          <w:rPr>
            <w:color w:val="1F5A92"/>
            <w:u w:val="single"/>
            <w:rFonts w:ascii="Arial Unicode MS" w:hAnsi="Arial Unicode MS" w:eastAsia="Arial Unicode MS"/>
          </w:rPr>
          <w:t>Harvard CS50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4">
        <w:r>
          <w:rPr>
            <w:color w:val="1F5A92"/>
            <w:u w:val="single"/>
            <w:rFonts w:ascii="Arial Unicode MS" w:hAnsi="Arial Unicode MS" w:eastAsia="Arial Unicode MS"/>
          </w:rPr>
          <w:t>Stanford CS106A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5">
        <w:r>
          <w:rPr>
            <w:color w:val="1F5A92"/>
            <w:u w:val="single"/>
            <w:rFonts w:ascii="Arial Unicode MS" w:hAnsi="Arial Unicode MS" w:eastAsia="Arial Unicode MS"/>
          </w:rPr>
          <w:t>CMU 15-122</w:t>
        </w:r>
      </w:hyperlink>
    </w:p>
    <w:p>
      <w:pPr>
        <w:pStyle w:val="Heading3"/>
        <w:keepNext/>
      </w:pPr>
      <w:r>
        <w:t>保存形式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每门课程使用独立目录，核心元数据写入 course.yaml，页面清单与抓取状态写入 resources.jsonl。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检索摘要.md 以课程为单位，用中文记录学科主题、层次、先修要求、目标、核心内容、组织方式、评价方式和可迁移特点。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英文页面以 Markdown 文本保存，并保留来源网址；视频、图片和二进制附件不下载，只保留链接。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不同课程公开栏目不一致：有的有 calendar，有的有 lecture notes 或 assignments。系统只保存实际存在且成功提取的栏目，不人为补齐空内容。</w:t>
      </w:r>
    </w:p>
    <w:p>
      <w:pPr>
        <w:pStyle w:val="Heading3"/>
        <w:keepNext/>
      </w:pPr>
      <w:r>
        <w:t>调用形式</w:t>
      </w:r>
    </w:p>
    <w:p>
      <w:r>
        <w:rPr>
          <w:rFonts w:ascii="Arial Unicode MS" w:hAnsi="Arial Unicode MS" w:eastAsia="Arial Unicode MS"/>
          <w:color w:val="161616"/>
        </w:rPr>
        <w:t>大纲设计和教学设计首先用中文问题生成中英文检索查询，优先命中课程级中文摘要和相关英文页面。当前二阶段加载器对 MIT OCW 做了完整课程回填：匹配到课程后，按任务读取检索摘要、课程描述、大纲、日历、作业、项目或教师洞见等完整文档；最多加载 3 门课程，每门默认不超过 24,000 字符，并保留来源网址。Yale、CS50、Stanford 和 CMU 目前仍主要按普通 RAG 文本块参与检索，尚未接入同等的整课回填逻辑。</w:t>
      </w:r>
    </w:p>
    <w:p>
      <w:pPr>
        <w:pStyle w:val="Heading2"/>
        <w:keepNext/>
      </w:pPr>
      <w:r>
        <w:t>3. 国内外高校教学案例库 teaching_cases</w:t>
      </w:r>
    </w:p>
    <w:p>
      <w:r>
        <w:rPr>
          <w:rFonts w:ascii="Arial Unicode MS" w:hAnsi="Arial Unicode MS" w:eastAsia="Arial Unicode MS"/>
          <w:color w:val="161616"/>
        </w:rPr>
        <w:t>用途是寻找可迁移的教学改革、课堂策略、活动设计、评价方式和实施经验。按当前目录说明的统计口径共有 373 条或份材料；其中北京大学两组材料可能存在课程层面的重叠，不应把这个总数理解为 373 门互不重复的课程。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北京大学：32 份教改与教师案例；66 份课程思政档案。来源为北京大学教务部公开案例汇编与教师教学专访，原始 PDF 保留在 source 目录。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MIT Open Learning：146 项 Residential Digital Innovations 教学创新资料，保存英文原文与 146 份中文检索摘要。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Cornell：27 篇 Teaching Innovation Case Study Library 案例。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Columbia：53 篇，其中 49 篇 Teaching Transformations，另有 4 篇教学中心专题或公告。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Michigan：35 篇 Provost's Teaching Innovation Prize 案例，获奖年份覆盖 2019—2025。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Yale Poorvu Center：14 篇课程、课堂活动或教学合作故事。</w:t>
      </w:r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6">
        <w:r>
          <w:rPr>
            <w:color w:val="1F5A92"/>
            <w:u w:val="single"/>
            <w:rFonts w:ascii="Arial Unicode MS" w:hAnsi="Arial Unicode MS" w:eastAsia="Arial Unicode MS"/>
          </w:rPr>
          <w:t>MIT Residential Digital Innovations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7">
        <w:r>
          <w:rPr>
            <w:color w:val="1F5A92"/>
            <w:u w:val="single"/>
            <w:rFonts w:ascii="Arial Unicode MS" w:hAnsi="Arial Unicode MS" w:eastAsia="Arial Unicode MS"/>
          </w:rPr>
          <w:t>Cornell Teaching Innovation Case Studies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8">
        <w:r>
          <w:rPr>
            <w:color w:val="1F5A92"/>
            <w:u w:val="single"/>
            <w:rFonts w:ascii="Arial Unicode MS" w:hAnsi="Arial Unicode MS" w:eastAsia="Arial Unicode MS"/>
          </w:rPr>
          <w:t>Columbia Center for Teaching and Learning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19">
        <w:r>
          <w:rPr>
            <w:color w:val="1F5A92"/>
            <w:u w:val="single"/>
            <w:rFonts w:ascii="Arial Unicode MS" w:hAnsi="Arial Unicode MS" w:eastAsia="Arial Unicode MS"/>
          </w:rPr>
          <w:t>Michigan Center for Research on Learning and Teaching</w:t>
        </w:r>
      </w:hyperlink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20">
        <w:r>
          <w:rPr>
            <w:color w:val="1F5A92"/>
            <w:u w:val="single"/>
            <w:rFonts w:ascii="Arial Unicode MS" w:hAnsi="Arial Unicode MS" w:eastAsia="Arial Unicode MS"/>
          </w:rPr>
          <w:t>Yale Poorvu Center</w:t>
        </w:r>
      </w:hyperlink>
    </w:p>
    <w:p>
      <w:pPr>
        <w:pStyle w:val="Heading3"/>
        <w:keepNext/>
      </w:pPr>
      <w:r>
        <w:t>保存与调用形式</w:t>
      </w:r>
    </w:p>
    <w:p>
      <w:r>
        <w:rPr>
          <w:rFonts w:ascii="Arial Unicode MS" w:hAnsi="Arial Unicode MS" w:eastAsia="Arial Unicode MS"/>
          <w:color w:val="161616"/>
        </w:rPr>
        <w:t>MIT 等结构化来源通常以 case.yaml、resources.jsonl、case.md 和检索摘要.md 保存；其他来源保留中文检索摘要、来源网址和分隔线以下的英文原文；北大材料以中文整理稿为主，并保留原始 PDF。问答时先用文本块匹配教学问题、学科和实施条件，再把命中的案例事实与通用理论结合。当前完整案例回填代码只对 MIT OCW 课程生效，尚未对 teaching_cases 的全部来源统一实现“命中后整篇加载”；这是后续应补齐的能力。</w:t>
      </w:r>
    </w:p>
    <w:p>
      <w:pPr>
        <w:pStyle w:val="Heading2"/>
        <w:keepNext/>
      </w:pPr>
      <w:r>
        <w:t>4. 斯坦福 AIMES 专题库</w:t>
      </w:r>
    </w:p>
    <w:p>
      <w:r>
        <w:rPr>
          <w:rFonts w:ascii="Arial Unicode MS" w:hAnsi="Arial Unicode MS" w:eastAsia="Arial Unicode MS"/>
          <w:color w:val="161616"/>
        </w:rPr>
        <w:t>该库围绕生成式 AI 与大学教学，整理自 Stanford CTL 的 AI Meets Education at Stanford。当前有 40 个正文 Markdown 文件，访问日期为 2026年10月2日。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AI Teaching Strategies：总览，以及允许、限制、禁止 AI 使用三条策略路径。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AI Course Policies：课程 AI 政策结构与示例入口。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AI and Your Learning：面向学生的 AI 学习指南。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AIMES Library：41 条材料按课程合并成 25 个文件，其中 1 份是院系指导；同一课程的多条材料分别保留网址。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共同负责人反思：2 篇项目进展与课程资助趋势材料。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Academic Technology Tools 与 Tool：32 个校级教学技术工具详情页链接，以及政策页指向的外部资源、工具访问入口。</w:t>
      </w:r>
    </w:p>
    <w:p>
      <w:pPr>
        <w:ind w:left="227"/>
      </w:pPr>
      <w:r>
        <w:rPr>
          <w:rFonts w:ascii="Arial Unicode MS" w:hAnsi="Arial Unicode MS" w:eastAsia="Arial Unicode MS"/>
          <w:b/>
          <w:color w:val="666666"/>
          <w:sz w:val="19"/>
        </w:rPr>
        <w:t>来源入口：</w:t>
      </w:r>
      <w:hyperlink r:id="rId21">
        <w:r>
          <w:rPr>
            <w:color w:val="1F5A92"/>
            <w:u w:val="single"/>
            <w:rFonts w:ascii="Arial Unicode MS" w:hAnsi="Arial Unicode MS" w:eastAsia="Arial Unicode MS"/>
          </w:rPr>
          <w:t>Stanford AIMES</w:t>
        </w:r>
      </w:hyperlink>
    </w:p>
    <w:p>
      <w:pPr>
        <w:pStyle w:val="Heading3"/>
        <w:keepNext/>
      </w:pPr>
      <w:r>
        <w:t>保存与调用形式</w:t>
      </w:r>
    </w:p>
    <w:p>
      <w:r>
        <w:rPr>
          <w:rFonts w:ascii="Arial Unicode MS" w:hAnsi="Arial Unicode MS" w:eastAsia="Arial Unicode MS"/>
          <w:color w:val="161616"/>
        </w:rPr>
        <w:t>正文保留英文原文的标题、列表和链接，文件开头写中文内容概括与来源网址。教学设计模式在问题涉及生成式 AI 时优先检索本库；通用问答也默认包含本库。语义上，AIMES Library 的课程实践属于教学案例，策略、政策、学生指南和工具资源则更接近专题教学知识。当前仍以 AIMES 独立语料库整体调用，后续可在不移动原文的前提下增加 material_type 元数据进行细分。</w:t>
      </w:r>
    </w:p>
    <w:p>
      <w:pPr>
        <w:pStyle w:val="Heading2"/>
        <w:keepNext/>
      </w:pPr>
      <w:r>
        <w:t>5. 教育学基础理论库 edu_theory</w:t>
      </w:r>
    </w:p>
    <w:p>
      <w:r>
        <w:rPr>
          <w:rFonts w:ascii="Arial Unicode MS" w:hAnsi="Arial Unicode MS" w:eastAsia="Arial Unicode MS"/>
          <w:color w:val="161616"/>
        </w:rPr>
        <w:t>当前有 36 份 Markdown 文档，覆盖十类主题：学习科学；课程与教学设计；课堂互动与教学法；评价与反馈；高等教育实践；生成式 AI 与大学教学；AI 素养与能力框架；AI 教学整合模型；AI 时代评价与诚信；公平、无障碍与数据治理。</w:t>
      </w:r>
    </w:p>
    <w:p>
      <w:r>
        <w:rPr>
          <w:rFonts w:ascii="Arial Unicode MS" w:hAnsi="Arial Unicode MS" w:eastAsia="Arial Unicode MS"/>
          <w:color w:val="161616"/>
        </w:rPr>
        <w:t>它承担“解释与校验”功能：例如用认知负荷、主动学习、形成性评价、逆向设计、UDL、TPACK、学术诚信和学习分析伦理，说明案例为什么可能有效、适用条件是什么。当前采用常规分块向量检索，不需要整篇回填。</w:t>
      </w:r>
    </w:p>
    <w:p>
      <w:pPr>
        <w:pStyle w:val="Heading2"/>
        <w:keepNext/>
      </w:pPr>
      <w:r>
        <w:t>6. 学科教学知识库 discipline_pedagogy</w:t>
      </w:r>
    </w:p>
    <w:p>
      <w:r>
        <w:rPr>
          <w:rFonts w:ascii="Arial Unicode MS" w:hAnsi="Arial Unicode MS" w:eastAsia="Arial Unicode MS"/>
          <w:color w:val="161616"/>
        </w:rPr>
        <w:t>当前有 5 份主文档：三份覆盖 30 个院系方向的分领域综述，一份九大学科门类汇总，一份医学六学院综述。前三份共含 30 个院系章节、120 条重点文献记录，去重后对应 105 个可追溯网址或 DOI；另保留外部专业资料、北大院系官方页面和医学资料的原文快照与状态清单。</w:t>
      </w:r>
    </w:p>
    <w:p>
      <w:r>
        <w:rPr>
          <w:rFonts w:ascii="Arial Unicode MS" w:hAnsi="Arial Unicode MS" w:eastAsia="Arial Unicode MS"/>
          <w:color w:val="161616"/>
        </w:rPr>
        <w:t>它为四种模式提供学科约束：同样的主动学习、讨论或评价方法，在数学、实验科学、人文、医学和专业实践课程中的证据对象与实施边界不同。当前按普通文本块检索。</w:t>
      </w:r>
    </w:p>
    <w:p>
      <w:pPr>
        <w:pStyle w:val="Heading2"/>
        <w:keepNext/>
      </w:pPr>
      <w:r>
        <w:t>7. 北大教学沙龙库 pku_salon</w:t>
      </w:r>
    </w:p>
    <w:p>
      <w:r>
        <w:rPr>
          <w:rFonts w:ascii="Arial Unicode MS" w:hAnsi="Arial Unicode MS" w:eastAsia="Arial Unicode MS"/>
          <w:color w:val="161616"/>
        </w:rPr>
        <w:t>当前目录有 33 份已整理的沙龙或教学观摩 Markdown 文本，时间从 2017年12月延伸到 2026年5月；另有对应的转写中间文件。它保存校内教师对课堂实践、教学观摩与改革经验的叙述，可为通用问答、教学设计和学情诊断提供北大语境。调用上采用普通文本块检索。</w:t>
      </w:r>
    </w:p>
    <w:p>
      <w:pPr>
        <w:pStyle w:val="Heading2"/>
        <w:keepNext/>
      </w:pPr>
      <w:r>
        <w:t>8. 历史评估报告库 eval_reports</w:t>
      </w:r>
    </w:p>
    <w:p>
      <w:r>
        <w:rPr>
          <w:rFonts w:ascii="Arial Unicode MS" w:hAnsi="Arial Unicode MS" w:eastAsia="Arial Unicode MS"/>
          <w:color w:val="161616"/>
        </w:rPr>
        <w:t>这是系统自动生成的用户级语料库，不由常规 ingest 脚本导入。当前目录没有静态文件；实际使用时，教师可从界面选择自己的历史课堂评估报告。被选中的报告作为置顶上下文单独保留最多 12,000 字符，不与普通 RAG 的 6,000 字符额度竞争，并按用户身份隔离。它主要服务学情诊断，也可支持针对既有课堂报告的追问。</w:t>
      </w:r>
    </w:p>
    <w:p>
      <w:pPr>
        <w:pStyle w:val="Heading2"/>
        <w:keepNext/>
      </w:pPr>
      <w:r>
        <w:t>9. 从保存到回答的统一调用链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识别模式与任务约束：模式决定默认语料范围、检索策略和回答契约；教师手动选择语料库时，可覆盖默认范围。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生成检索查询：LLM 将多轮问题改写成独立问题，并生成若干中英文查询；语料库路由由代码控制，不交给 LLM 自由决定。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检索与筛选：对每条查询、每个语料库做向量检索，合并去重，必要时重排；默认相似度阈值 0.5、每库每查询初筛 15 条、最终最多 12 条。课程或案例匹配模式把初筛上限提高到至少 30 条。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组装上下文：通用知识按文本块拼接；匹配到的 MIT OCW 课程按完整文档边界回填，专用模式的总上下文可扩展到 52,000 字符。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生成回答与引用：模式专属提示词规定结构，回答同时返回语料库名称、文件来源、来源网址、相似度，以及是否为整课材料等引用信息。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入库建议：在正式验证四种模式前，应重建而不是只做增量导入。原因是旧向量库仍有 course_syllabi，而磁盘已删除该目录；单纯增量不会自动清理旧块。重建后再检查各集合数量、抽样验证中文摘要能否召回英文课程，并为非 MIT 课程与 teaching_cases 补齐整课或整案加载。</w:t>
      </w:r>
    </w:p>
    <w:p>
      <w:pPr>
        <w:pStyle w:val="Heading1"/>
        <w:keepNext/>
      </w:pPr>
      <w:r>
        <w:t>第二部分　四种问答模式</w:t>
      </w:r>
    </w:p>
    <w:p>
      <w:pPr>
        <w:pStyle w:val="Heading2"/>
        <w:keepNext/>
      </w:pPr>
      <w:r>
        <w:t>1. 模式切换的实现含义</w:t>
      </w:r>
    </w:p>
    <w:p>
      <w:r>
        <w:rPr>
          <w:rFonts w:ascii="Arial Unicode MS" w:hAnsi="Arial Unicode MS" w:eastAsia="Arial Unicode MS"/>
          <w:color w:val="161616"/>
        </w:rPr>
        <w:t>四种模式不是四个彼此独立的模型，也不等同于“调用四个 skill”。当前实现复用同一个核心 LLM 与 RAG 管线，通过模式注册表切换五类配置：界面说明与输入提示、检索规划指令、默认语料库、检索策略、回答结构。将来可以给某一模式挂接专门工具或 skill，但它们是增强能力，不是模式成立的前提。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通用问答使用 chunk：优先给出直接结论、依据和行动建议。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大纲设计使用 course_match：先找内容相近课程，再形成课程层级的整体方案。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教学设计使用 case_match：先找相似教学情境和做法，再设计课时或单元。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学情诊断使用 evidence_first：先处理教师提供的数据，再用理论解释和提出验证方案。</w:t>
      </w:r>
    </w:p>
    <w:p>
      <w:pPr>
        <w:pStyle w:val="Heading2"/>
        <w:keepNext/>
      </w:pPr>
      <w:r>
        <w:t>2. 通用问答模式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面向对象　</w:t>
      </w:r>
      <w:r>
        <w:rPr>
          <w:rFonts w:ascii="Arial Unicode MS" w:hAnsi="Arial Unicode MS" w:eastAsia="Arial Unicode MS"/>
          <w:color w:val="161616"/>
        </w:rPr>
        <w:t>希望快速解决教学概念、课堂管理、评价反馈、AI 使用政策等问题的高校教师。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典型任务　</w:t>
      </w:r>
      <w:r>
        <w:rPr>
          <w:rFonts w:ascii="Arial Unicode MS" w:hAnsi="Arial Unicode MS" w:eastAsia="Arial Unicode MS"/>
          <w:color w:val="161616"/>
        </w:rPr>
        <w:t>解释一个教学问题；比较两种做法；给出课堂改进建议；梳理政策或原则；帮助教师确定下一步。</w:t>
      </w:r>
    </w:p>
    <w:p>
      <w:pPr>
        <w:pStyle w:val="Heading3"/>
        <w:keepNext/>
      </w:pPr>
      <w:r>
        <w:t>教师可能会这样问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我的大班课每次提问都只有固定几个学生回答，怎样让更多学生参与，又不占用太多课堂时间？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学生越来越依赖生成式 AI，我该允许、限制还是禁止？课程政策怎样写才清楚？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我给作业写了很多反馈，但学生似乎并不看，怎样让反馈真正转化为下一次学习？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小组讨论有时很活跃，有时却只剩少数人发言，我应该怎样调整任务和分组？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一门课里形成性评价和期末考试应该怎样搭配，才能既促进学习又保证公平？</w:t>
      </w:r>
    </w:p>
    <w:p>
      <w:pPr>
        <w:pStyle w:val="Heading3"/>
        <w:keepNext/>
      </w:pPr>
      <w:r>
        <w:t>工作流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把教师的当前问题与最近对话整理为可独立理解的问题。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围绕核心概念、适用情境和可选策略生成简洁查询。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默认并行检索教育学理论、北大沙龙、国外课程、学科教学、教学案例和 AIMES；教师也可手动限定来源。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筛除低相关内容，将理论、案例与课程资料合并，直接形成建议。</w:t>
      </w:r>
    </w:p>
    <w:p>
      <w:pPr>
        <w:pStyle w:val="Heading3"/>
        <w:keepNext/>
      </w:pPr>
      <w:r>
        <w:t>调用知识库</w:t>
      </w:r>
    </w:p>
    <w:p>
      <w:r>
        <w:rPr>
          <w:rFonts w:ascii="Arial Unicode MS" w:hAnsi="Arial Unicode MS" w:eastAsia="Arial Unicode MS"/>
          <w:color w:val="161616"/>
        </w:rPr>
        <w:t>默认调用 edu_theory、pku_salon、course_cases、discipline_pedagogy、teaching_cases、AIMES。历史评估报告不作为默认公共知识；只有教师明确选择时才加入。</w:t>
      </w:r>
    </w:p>
    <w:p>
      <w:pPr>
        <w:pStyle w:val="Heading3"/>
        <w:keepNext/>
      </w:pPr>
      <w:r>
        <w:t>回答内容与格式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先给结论或判断，避免先铺陈大段背景。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说明关键依据、适用条件和可能风险。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提供可立即尝试的步骤、话术、任务或检查点。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需要时区分“来源事实”与“系统建议”，并附可追溯网址；不强制套用固定模板。</w:t>
      </w:r>
    </w:p>
    <w:p>
      <w:pPr>
        <w:pStyle w:val="Heading2"/>
        <w:keepNext/>
      </w:pPr>
      <w:r>
        <w:t>3. 大纲设计模式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面向对象　</w:t>
      </w:r>
      <w:r>
        <w:rPr>
          <w:rFonts w:ascii="Arial Unicode MS" w:hAnsi="Arial Unicode MS" w:eastAsia="Arial Unicode MS"/>
          <w:color w:val="161616"/>
        </w:rPr>
        <w:t>正在新开课、改版课程或重构目标—内容—评价关系的课程负责人和教学团队。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典型任务　</w:t>
      </w:r>
      <w:r>
        <w:rPr>
          <w:rFonts w:ascii="Arial Unicode MS" w:hAnsi="Arial Unicode MS" w:eastAsia="Arial Unicode MS"/>
          <w:color w:val="161616"/>
        </w:rPr>
        <w:t>匹配内容相近课程；设计学习目标；确定内容边界与周次；组合教学形式和考核；检查目标、活动与评价的一致性。</w:t>
      </w:r>
    </w:p>
    <w:p>
      <w:pPr>
        <w:pStyle w:val="Heading3"/>
        <w:keepNext/>
      </w:pPr>
      <w:r>
        <w:t>教师可能会这样问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我准备给非计算机专业本科生开一门 16 周的人工智能导论，内容、目标和考核应该怎样安排？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我的 Python 课一直按语法章节推进，学生学完还是不会解决问题，课程大纲应该怎样重构？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我想开一门技术、社会与伦理的通识课，但范围太大，怎样确定课程边界和主线？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医学基础课内容多、课时少，怎样区分核心与拓展内容，并把实验、案例和理论组织起来？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如果允许学生使用生成式 AI，大纲里的学习目标、作业设计和课程政策怎样保持一致？</w:t>
      </w:r>
    </w:p>
    <w:p>
      <w:pPr>
        <w:pStyle w:val="Heading3"/>
        <w:keepNext/>
      </w:pPr>
      <w:r>
        <w:t>工作流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提取课程主题、关键概念、学生层次、先修基础、学时和拟解决的问题；缺失信息用明确假设补足。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生成中英文课程主题查询，先检索课程级中文摘要，再定位相似课程的英文原文。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比较若干课程的内容范围、学习目标、节奏、活动和评价，解释相似与不相似之处。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把可迁移做法与本校情境结合，形成目标、内容、进度、教学形式和考核方案。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逐项检查目标—活动—评价是否对齐，并标出仍需教师决定的取舍。</w:t>
      </w:r>
    </w:p>
    <w:p>
      <w:pPr>
        <w:pStyle w:val="Heading3"/>
        <w:keepNext/>
      </w:pPr>
      <w:r>
        <w:t>调用知识库</w:t>
      </w:r>
    </w:p>
    <w:p>
      <w:r>
        <w:rPr>
          <w:rFonts w:ascii="Arial Unicode MS" w:hAnsi="Arial Unicode MS" w:eastAsia="Arial Unicode MS"/>
          <w:color w:val="161616"/>
        </w:rPr>
        <w:t>默认调用 teaching_cases、course_cases、discipline_pedagogy、edu_theory。course_cases 是相似课程匹配的主库；学科教学知识用于判断迁移边界；教学案例和理论用于补充课程组织方法。</w:t>
      </w:r>
    </w:p>
    <w:p>
      <w:pPr>
        <w:pStyle w:val="Heading3"/>
        <w:keepNext/>
      </w:pPr>
      <w:r>
        <w:t>回答内容与格式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需求理解与必要假设。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相似课程清单、匹配理由、来源事实与原网页入口。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可迁移做法，以及不建议直接照搬的部分。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课程目标、内容模块或周次、教学形式、考核构成。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目标—活动—评价的一致性说明，以及待确认问题。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大纲设计的输出单位是整门课程。即使参考了教学案例，也不能只给零散课堂活动而缺少课程整体结构。</w:t>
      </w:r>
    </w:p>
    <w:p>
      <w:pPr>
        <w:pStyle w:val="Heading2"/>
        <w:keepNext/>
      </w:pPr>
      <w:r>
        <w:t>4. 教学设计模式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面向对象　</w:t>
      </w:r>
      <w:r>
        <w:rPr>
          <w:rFonts w:ascii="Arial Unicode MS" w:hAnsi="Arial Unicode MS" w:eastAsia="Arial Unicode MS"/>
          <w:color w:val="161616"/>
        </w:rPr>
        <w:t>已经明确课程或单元内容，希望设计一节课、一个主题单元、一次讨论、实验或作业活动的任课教师。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典型任务　</w:t>
      </w:r>
      <w:r>
        <w:rPr>
          <w:rFonts w:ascii="Arial Unicode MS" w:hAnsi="Arial Unicode MS" w:eastAsia="Arial Unicode MS"/>
          <w:color w:val="161616"/>
        </w:rPr>
        <w:t>拆解学习难点；安排课前、课中、课后活动；设计互动和形成性评价；明确教师与学生行为；处理 AI 使用、设备和时间等约束。</w:t>
      </w:r>
    </w:p>
    <w:p>
      <w:pPr>
        <w:pStyle w:val="Heading3"/>
        <w:keepNext/>
      </w:pPr>
      <w:r>
        <w:t>教师可能会这样问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我要用 90 分钟讲机器学习里的过拟合，学生会编程但数学基础差，怎样设计这节课？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我有 120 人的理论课，课堂一直很沉默，能否设计一个不失控、又让大多数人参与的流程？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我允许学生在写作课使用生成式 AI，但不希望他们直接交 AI 成稿，任务和评分标准该怎么设计？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实验设备不够，我想把线上模拟、教师演示、小组讨论和线下实验结合起来，怎样安排更合理？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哲学研讨课讨论自由意志时，学生很容易停留在个人感想，怎样把讨论推进到概念分析和论证？</w:t>
      </w:r>
    </w:p>
    <w:p>
      <w:pPr>
        <w:pStyle w:val="Heading3"/>
        <w:keepNext/>
      </w:pPr>
      <w:r>
        <w:t>工作流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确认主题、课时、学生特征、前置知识、课堂规模和当前难点。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检索相似教学问题、学科案例、校内经验和可用理论；涉及生成式 AI 时增加 AIMES 策略与政策查询。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选择少量可迁移做法，说明其原始情境和迁移理由。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按时间或学习阶段设计流程，明确教师行为、学生活动、产出和检查理解的证据。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补充课后任务、实施风险、替代方案和下一次迭代所需数据。</w:t>
      </w:r>
    </w:p>
    <w:p>
      <w:pPr>
        <w:pStyle w:val="Heading3"/>
        <w:keepNext/>
      </w:pPr>
      <w:r>
        <w:t>调用知识库</w:t>
      </w:r>
    </w:p>
    <w:p>
      <w:r>
        <w:rPr>
          <w:rFonts w:ascii="Arial Unicode MS" w:hAnsi="Arial Unicode MS" w:eastAsia="Arial Unicode MS"/>
          <w:color w:val="161616"/>
        </w:rPr>
        <w:t>默认调用 teaching_cases、pku_salon、discipline_pedagogy、edu_theory、AIMES。教学案例是做法来源；学科知识和理论负责判断适用性；北大沙龙提供校内语境；AIMES处理 AI 相关活动与政策。</w:t>
      </w:r>
    </w:p>
    <w:p>
      <w:pPr>
        <w:pStyle w:val="Heading3"/>
        <w:keepNext/>
      </w:pPr>
      <w:r>
        <w:t>回答内容与格式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学习目标、学情假设与核心难点。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分阶段教学流程；信息充分时给出分钟级时间分配。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每个阶段的教师行为、学生活动、学习产出和形成性评价。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课后任务、材料准备、风险与备选方案。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明确哪些做法来自案例，哪些是针对当前情境生成的设计，并提供原网页入口。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教学设计也需要匹配相似课程，但匹配目的不同：它更关注“相似教学难点与活动机制”，而不是复刻整门课程的内容序列。</w:t>
      </w:r>
    </w:p>
    <w:p>
      <w:pPr>
        <w:pStyle w:val="Heading2"/>
        <w:keepNext/>
      </w:pPr>
      <w:r>
        <w:t>5. 学情诊断模式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面向对象　</w:t>
      </w:r>
      <w:r>
        <w:rPr>
          <w:rFonts w:ascii="Arial Unicode MS" w:hAnsi="Arial Unicode MS" w:eastAsia="Arial Unicode MS"/>
          <w:color w:val="161616"/>
        </w:rPr>
        <w:t>手头已有作业、测验、课堂表现、访谈或历史评估报告，希望判断学生困难并设计干预的教师。</w:t>
      </w:r>
    </w:p>
    <w:p>
      <w:pPr>
        <w:spacing w:before="80" w:after="100"/>
        <w:ind w:left="198" w:right="113"/>
        <w:shd w:fill="F6F7F8"/>
      </w:pPr>
      <w:r>
        <w:rPr>
          <w:rFonts w:ascii="Arial Unicode MS" w:hAnsi="Arial Unicode MS" w:eastAsia="Arial Unicode MS"/>
          <w:b/>
          <w:color w:val="183A5A"/>
        </w:rPr>
        <w:t xml:space="preserve">典型任务　</w:t>
      </w:r>
      <w:r>
        <w:rPr>
          <w:rFonts w:ascii="Arial Unicode MS" w:hAnsi="Arial Unicode MS" w:eastAsia="Arial Unicode MS"/>
          <w:color w:val="161616"/>
        </w:rPr>
        <w:t>归纳错误类型；区分知识缺口与策略问题；识别群体差异；提出分层干预；设计下一轮验证。</w:t>
      </w:r>
    </w:p>
    <w:p>
      <w:pPr>
        <w:pStyle w:val="Heading3"/>
        <w:keepNext/>
      </w:pPr>
      <w:r>
        <w:t>教师可能会这样问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这是三次作业的成绩和典型错误，能否判断学生主要卡在基础知识、概念理解还是迁移应用？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学生写出的程序大多能运行，但代码结构、测试和解释都很弱，我该怎样诊断问题？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学生都完成了课前阅读，课堂讨论却说不出观点，可能是什么原因？我还需要收集哪些信息？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允许使用生成式 AI 后，学生书面作业明显变好，但口头解释和现场解题变差，我该如何判断他们是否真正学会？</w:t>
      </w:r>
    </w:p>
    <w:p>
      <w:pPr>
        <w:pStyle w:val="Question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同一班里不同基础学生的差距越来越大，能否根据现有表现帮我分组，并设计三层干预？</w:t>
      </w:r>
    </w:p>
    <w:p>
      <w:pPr>
        <w:pStyle w:val="Heading3"/>
        <w:keepNext/>
      </w:pPr>
      <w:r>
        <w:t>工作流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先确定证据范围：数据来自多少学生、什么任务、何时采集，是否有评分标准和对照信息。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把可直接观察的现象与推断分开，归纳错误、表现与群体差异。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检索学习科学、学科教学和校内实践，形成多个可能原因，并标注置信程度。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按需要分组，提出针对性干预；每项干预都配一个可观察的成功指标。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设计下一轮验证，说明还需收集的最少材料，避免一次数据就做确定性结论。</w:t>
      </w:r>
    </w:p>
    <w:p>
      <w:pPr>
        <w:pStyle w:val="Heading3"/>
        <w:keepNext/>
      </w:pPr>
      <w:r>
        <w:t>调用知识库</w:t>
      </w:r>
    </w:p>
    <w:p>
      <w:r>
        <w:rPr>
          <w:rFonts w:ascii="Arial Unicode MS" w:hAnsi="Arial Unicode MS" w:eastAsia="Arial Unicode MS"/>
          <w:color w:val="161616"/>
        </w:rPr>
        <w:t>默认调用 edu_theory、discipline_pedagogy、pku_salon。教师明确选择的历史评估报告作为置顶证据优先进入上下文；作业、测验或课堂记录则应随问题提供。必要时可由教师手动加入教学案例等语料。</w:t>
      </w:r>
    </w:p>
    <w:p>
      <w:pPr>
        <w:pStyle w:val="Heading3"/>
        <w:keepNext/>
      </w:pPr>
      <w:r>
        <w:t>回答内容与格式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数据范围、质量与诊断限制。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可观察现象，以及支持它们的具体证据。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可能原因、替代解释和置信程度。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学生分组与针对性干预。</w:t>
      </w:r>
    </w:p>
    <w:p>
      <w:pPr>
        <w:pStyle w:val="ListBullet"/>
      </w:pPr>
      <w:r>
        <w:rPr>
          <w:rFonts w:ascii="Arial Unicode MS" w:hAnsi="Arial Unicode MS" w:eastAsia="Arial Unicode MS"/>
          <w:color w:val="161616"/>
        </w:rPr>
        <w:t>下一轮验证方式、指标和最少补充材料。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没有学生数据时，本模式只应返回诊断框架和材料清单，不应假装已经诊断出学生问题。</w:t>
      </w:r>
    </w:p>
    <w:p>
      <w:pPr>
        <w:pStyle w:val="Heading2"/>
        <w:keepNext/>
      </w:pPr>
      <w:r>
        <w:t>6. 四种模式之间的协同</w:t>
      </w:r>
    </w:p>
    <w:p>
      <w:r>
        <w:rPr>
          <w:rFonts w:ascii="Arial Unicode MS" w:hAnsi="Arial Unicode MS" w:eastAsia="Arial Unicode MS"/>
          <w:color w:val="161616"/>
        </w:rPr>
        <w:t>模式不是相互隔离的知识孤岛，而是同一教学改进周期中的不同工作阶段：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通用问答帮助教师理解问题与可选路径。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大纲设计把课程目标、内容与评价组织成整体方案。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教学设计把课程方案落实为一节课或一个单元的可执行活动。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学情诊断用学生证据检验设计是否奏效，再把结论反馈到下一轮教学与大纲调整。</w:t>
      </w:r>
    </w:p>
    <w:p>
      <w:pPr>
        <w:shd w:fill="F3F4F6"/>
        <w:spacing w:before="100" w:after="160"/>
        <w:ind w:left="198" w:right="198"/>
      </w:pPr>
      <w:r>
        <w:rPr>
          <w:rFonts w:ascii="Arial Unicode MS" w:hAnsi="Arial Unicode MS" w:eastAsia="Arial Unicode MS"/>
          <w:color w:val="161616"/>
        </w:rPr>
        <w:t>推荐的产品体验是保留显式模式入口，同时允许系统根据问题给出温和建议。例如教师在大纲模式上传大量作业时，提示可切换到学情诊断，但不自动替换其选择。所有模式共享来源追溯、语料库手动选择和对话上下文。</w:t>
      </w:r>
    </w:p>
    <w:p>
      <w:pPr>
        <w:pStyle w:val="Heading2"/>
        <w:keepNext/>
      </w:pPr>
      <w:r>
        <w:t>7. 实施优先级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1. </w:t>
      </w:r>
      <w:r>
        <w:rPr>
          <w:rFonts w:ascii="Arial Unicode MS" w:hAnsi="Arial Unicode MS" w:eastAsia="Arial Unicode MS"/>
          <w:color w:val="161616"/>
        </w:rPr>
        <w:t>第一优先级：重建向量库，清理旧 course_syllabi，确保新语料目录与 Chroma 集合一致。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2. </w:t>
      </w:r>
      <w:r>
        <w:rPr>
          <w:rFonts w:ascii="Arial Unicode MS" w:hAnsi="Arial Unicode MS" w:eastAsia="Arial Unicode MS"/>
          <w:color w:val="161616"/>
        </w:rPr>
        <w:t>第二优先级：验证中文课程级摘要对中文教师提问的召回质量，建立至少 30—50 条跨学科测试问题。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3. </w:t>
      </w:r>
      <w:r>
        <w:rPr>
          <w:rFonts w:ascii="Arial Unicode MS" w:hAnsi="Arial Unicode MS" w:eastAsia="Arial Unicode MS"/>
          <w:color w:val="161616"/>
        </w:rPr>
        <w:t>第三优先级：把整课回填从 MIT OCW 扩展到 Yale、CS50、Stanford、CMU，并为 teaching_cases 实现“命中后整案加载”。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4. </w:t>
      </w:r>
      <w:r>
        <w:rPr>
          <w:rFonts w:ascii="Arial Unicode MS" w:hAnsi="Arial Unicode MS" w:eastAsia="Arial Unicode MS"/>
          <w:color w:val="161616"/>
        </w:rPr>
        <w:t>第四优先级：为每种模式固定可解析的输出骨架，同时保留自然语言弹性；前端展示匹配课程、引用来源和关键假设。</w:t>
      </w:r>
    </w:p>
    <w:p>
      <w:pPr>
        <w:spacing w:after="60"/>
        <w:ind w:left="408" w:hanging="295"/>
      </w:pPr>
      <w:r>
        <w:rPr>
          <w:rFonts w:ascii="Arial Unicode MS" w:hAnsi="Arial Unicode MS" w:eastAsia="Arial Unicode MS"/>
          <w:b/>
          <w:color w:val="183A5A"/>
        </w:rPr>
        <w:t xml:space="preserve">5. </w:t>
      </w:r>
      <w:r>
        <w:rPr>
          <w:rFonts w:ascii="Arial Unicode MS" w:hAnsi="Arial Unicode MS" w:eastAsia="Arial Unicode MS"/>
          <w:color w:val="161616"/>
        </w:rPr>
        <w:t>第五优先级：将 AIMES Library 与策略、政策、工具资源用元数据区分，便于教学设计时精确路由。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76" w:bottom="879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CE1"/>
      </w:pBdr>
    </w:pPr>
    <w:r>
      <w:rPr>
        <w:rFonts w:ascii="Arial Unicode MS" w:hAnsi="Arial Unicode MS" w:eastAsia="Arial Unicode MS"/>
        <w:color w:val="666666"/>
        <w:sz w:val="16"/>
      </w:rPr>
      <w:t>北大问教  ·  知识库与问答模式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after="100"/>
    </w:pPr>
    <w:rPr>
      <w:rFonts w:ascii="Arial Unicode MS" w:hAnsi="Arial Unicode MS" w:eastAsia="Arial Unicode MS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83A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16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4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83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6161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307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after="60" w:line="307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307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after="80"/>
      <w:ind w:left="255" w:hanging="142"/>
    </w:pPr>
    <w:rPr>
      <w:rFonts w:ascii="Arial Unicode MS" w:hAnsi="Arial Unicode MS" w:eastAsia="Arial Unicode MS"/>
      <w:color w:val="16161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cw.mit.edu/" TargetMode="External"/><Relationship Id="rId12" Type="http://schemas.openxmlformats.org/officeDocument/2006/relationships/hyperlink" Target="https://oyc.yale.edu/" TargetMode="External"/><Relationship Id="rId13" Type="http://schemas.openxmlformats.org/officeDocument/2006/relationships/hyperlink" Target="https://cs50.harvard.edu/" TargetMode="External"/><Relationship Id="rId14" Type="http://schemas.openxmlformats.org/officeDocument/2006/relationships/hyperlink" Target="https://web.stanford.edu/class/cs106a/" TargetMode="External"/><Relationship Id="rId15" Type="http://schemas.openxmlformats.org/officeDocument/2006/relationships/hyperlink" Target="https://www.cs.cmu.edu/~15122/" TargetMode="External"/><Relationship Id="rId16" Type="http://schemas.openxmlformats.org/officeDocument/2006/relationships/hyperlink" Target="https://openlearning.mit.edu/mit-faculty/residential-digital-innovations" TargetMode="External"/><Relationship Id="rId17" Type="http://schemas.openxmlformats.org/officeDocument/2006/relationships/hyperlink" Target="https://blogs.cornell.edu/teachingcasestudies/" TargetMode="External"/><Relationship Id="rId18" Type="http://schemas.openxmlformats.org/officeDocument/2006/relationships/hyperlink" Target="https://ctl.columbia.edu/" TargetMode="External"/><Relationship Id="rId19" Type="http://schemas.openxmlformats.org/officeDocument/2006/relationships/hyperlink" Target="https://crlt.umich.edu/" TargetMode="External"/><Relationship Id="rId20" Type="http://schemas.openxmlformats.org/officeDocument/2006/relationships/hyperlink" Target="https://poorvucenter.yale.edu/" TargetMode="External"/><Relationship Id="rId21" Type="http://schemas.openxmlformats.org/officeDocument/2006/relationships/hyperlink" Target="https://ctl.stanford.edu/ai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北大问教知识库与四种问答模式说明</dc:title>
  <dc:subject>当前知识库内容、来源、保存调用方式与四种智能问答模式</dc:subject>
  <dc:creator>北大问教项目组</dc:creator>
  <cp:keywords>知识库, RAG, 大纲设计, 教学设计, 学情诊断, 教学问答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