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双缓冲：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i/>
          <w:color w:val="880000"/>
          <w:sz w:val="19"/>
          <w:highlight w:val="white"/>
        </w:rPr>
        <w:t>glutInitDisplayMode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i/>
          <w:color w:val="6F008A"/>
          <w:sz w:val="19"/>
          <w:highlight w:val="white"/>
        </w:rPr>
        <w:t>GLUT_DOUBLE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i/>
          <w:color w:val="6F008A"/>
          <w:sz w:val="19"/>
          <w:highlight w:val="white"/>
        </w:rPr>
        <w:t>GLUT_RGBA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刷新绘图命令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i/>
          <w:color w:val="880000"/>
          <w:sz w:val="19"/>
          <w:highlight w:val="white"/>
        </w:rPr>
        <w:t>glutSwapBuffers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状态机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glHint: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指定追求高性能还是视觉质量。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所有的OpenGL实现都不要求必须在glHint函数的调用上保持一致。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OpenGL中唯一的一个行为完全依赖于生产商的函数。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使用扩展：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OpenGL允许硬件生产商通过扩展机制提供创新。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向OpenGL API添加新的函数，供开发人员使用。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只要能够为原有的OpenGL函数(如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glEnable)所认识，生产商就可以添加新的标记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或者枚举定义。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向OpenGL Working Group 注册生产商的扩展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</w:t>
      </w:r>
      <w:r>
        <w:rPr>
          <w:rFonts w:hint="eastAsia" w:ascii="新宋体" w:hAnsi="新宋体" w:eastAsia="新宋体"/>
          <w:i/>
          <w:color w:val="880000"/>
          <w:sz w:val="19"/>
          <w:highlight w:val="white"/>
        </w:rPr>
        <w:t>glGetString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i/>
          <w:color w:val="6F008A"/>
          <w:sz w:val="19"/>
          <w:highlight w:val="white"/>
        </w:rPr>
        <w:t>GL_EXTENSIONS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20010">
    <w:nsid w:val="569E60AA"/>
    <w:multiLevelType w:val="singleLevel"/>
    <w:tmpl w:val="569E60A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3220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0509F"/>
    <w:rsid w:val="06B93F93"/>
    <w:rsid w:val="089C542D"/>
    <w:rsid w:val="0AE77571"/>
    <w:rsid w:val="0BFB3BB6"/>
    <w:rsid w:val="10B647F9"/>
    <w:rsid w:val="10CC699D"/>
    <w:rsid w:val="13FB45D6"/>
    <w:rsid w:val="1B65127F"/>
    <w:rsid w:val="1BDA123E"/>
    <w:rsid w:val="1F8345C2"/>
    <w:rsid w:val="1F857AC5"/>
    <w:rsid w:val="21D13E07"/>
    <w:rsid w:val="237D7345"/>
    <w:rsid w:val="2678162D"/>
    <w:rsid w:val="26F92E80"/>
    <w:rsid w:val="27135C28"/>
    <w:rsid w:val="27A22014"/>
    <w:rsid w:val="29C9741A"/>
    <w:rsid w:val="2A261D32"/>
    <w:rsid w:val="2EB4662E"/>
    <w:rsid w:val="2EE338FA"/>
    <w:rsid w:val="2F365903"/>
    <w:rsid w:val="324C0413"/>
    <w:rsid w:val="33B51F64"/>
    <w:rsid w:val="35FE2DA3"/>
    <w:rsid w:val="360949B7"/>
    <w:rsid w:val="39725C4D"/>
    <w:rsid w:val="3AAB6C4F"/>
    <w:rsid w:val="3BC60A4E"/>
    <w:rsid w:val="3E0C2AD8"/>
    <w:rsid w:val="3F513170"/>
    <w:rsid w:val="420F77F0"/>
    <w:rsid w:val="44144D08"/>
    <w:rsid w:val="463830C3"/>
    <w:rsid w:val="47BC323F"/>
    <w:rsid w:val="47F216DF"/>
    <w:rsid w:val="4DC1731C"/>
    <w:rsid w:val="50E336C1"/>
    <w:rsid w:val="53194965"/>
    <w:rsid w:val="591B3341"/>
    <w:rsid w:val="5AE03F27"/>
    <w:rsid w:val="5D1A034E"/>
    <w:rsid w:val="60F2511B"/>
    <w:rsid w:val="617678F3"/>
    <w:rsid w:val="63BE0AB1"/>
    <w:rsid w:val="6A083105"/>
    <w:rsid w:val="6B95030D"/>
    <w:rsid w:val="6B9C7C98"/>
    <w:rsid w:val="6FCA3275"/>
    <w:rsid w:val="707A7B96"/>
    <w:rsid w:val="718E1C5D"/>
    <w:rsid w:val="78761BB0"/>
    <w:rsid w:val="789449E3"/>
    <w:rsid w:val="7C4E4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2016-03-14T03:57:08Z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