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466C" w:rsidRPr="003515B8" w:rsidRDefault="00A010D7" w:rsidP="00782DDC">
      <w:pPr>
        <w:pStyle w:val="1"/>
        <w:jc w:val="center"/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t>Post-Fundamentals Drift in Stock Prices—— A Machine-Learning Approach</w:t>
      </w:r>
    </w:p>
    <w:p w:rsidR="00823858" w:rsidRPr="003515B8" w:rsidRDefault="006E0710" w:rsidP="004B45FB">
      <w:pPr>
        <w:jc w:val="center"/>
        <w:rPr>
          <w:rFonts w:ascii="Times New Roman" w:hAnsi="Times New Roman" w:cs="Times New Roman"/>
          <w:b/>
          <w:kern w:val="0"/>
          <w:sz w:val="24"/>
          <w:szCs w:val="24"/>
        </w:rPr>
      </w:pP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Avramov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_,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Kaplanski</w:t>
      </w:r>
      <w:proofErr w:type="spellEnd"/>
      <w:r w:rsidR="00823858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,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Subrahmanyam</w:t>
      </w:r>
      <w:proofErr w:type="spellEnd"/>
      <w:r w:rsidR="00823858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    </w:t>
      </w:r>
      <w:r w:rsidR="00823858" w:rsidRPr="003515B8">
        <w:rPr>
          <w:rFonts w:ascii="Times New Roman" w:hAnsi="Times New Roman" w:cs="Times New Roman"/>
          <w:b/>
          <w:kern w:val="0"/>
          <w:sz w:val="20"/>
          <w:szCs w:val="20"/>
        </w:rPr>
        <w:t>2020 May</w:t>
      </w:r>
      <w:r w:rsidR="00823858" w:rsidRPr="003515B8">
        <w:rPr>
          <w:rFonts w:ascii="Times New Roman" w:hAnsi="Times New Roman" w:cs="Times New Roman"/>
          <w:b/>
          <w:kern w:val="0"/>
          <w:sz w:val="20"/>
          <w:szCs w:val="20"/>
        </w:rPr>
        <w:t>，</w:t>
      </w:r>
      <w:r w:rsidR="00823858" w:rsidRPr="003515B8">
        <w:rPr>
          <w:rFonts w:ascii="Times New Roman" w:hAnsi="Times New Roman" w:cs="Times New Roman"/>
          <w:b/>
          <w:kern w:val="0"/>
          <w:sz w:val="20"/>
          <w:szCs w:val="20"/>
        </w:rPr>
        <w:t xml:space="preserve"> working paper</w:t>
      </w:r>
    </w:p>
    <w:p w:rsidR="00C8095F" w:rsidRPr="003515B8" w:rsidRDefault="00782DDC" w:rsidP="00C8095F">
      <w:pPr>
        <w:pStyle w:val="2"/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t>Introduction</w:t>
      </w:r>
    </w:p>
    <w:p w:rsidR="00C8095F" w:rsidRPr="003515B8" w:rsidRDefault="00782DDC" w:rsidP="00C8095F"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t>Background</w:t>
      </w:r>
    </w:p>
    <w:p w:rsidR="00C8095F" w:rsidRPr="003515B8" w:rsidRDefault="00D325EE" w:rsidP="00D325EE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A growing body of literature shows tha</w:t>
      </w:r>
      <w:r w:rsidR="00BE33B1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t trading rules based on moving 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averages of prices predict returns.</w:t>
      </w:r>
    </w:p>
    <w:p w:rsidR="00F86B2D" w:rsidRPr="003515B8" w:rsidRDefault="00D10ACB" w:rsidP="00F86B2D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While there are many factors based on fundamentals</w:t>
      </w:r>
      <w:r w:rsidR="00C40E34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to predict stock returns in cross-section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,</w:t>
      </w:r>
      <w:r w:rsidR="00BE33B1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m</w:t>
      </w:r>
      <w:r w:rsidR="00A0581C" w:rsidRPr="003515B8">
        <w:rPr>
          <w:rFonts w:ascii="Times New Roman" w:hAnsi="Times New Roman" w:cs="Times New Roman"/>
          <w:b/>
          <w:kern w:val="0"/>
          <w:sz w:val="24"/>
          <w:szCs w:val="24"/>
        </w:rPr>
        <w:t>oving</w:t>
      </w:r>
      <w:r w:rsidR="00BE33B1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r w:rsidR="00A0581C" w:rsidRPr="003515B8">
        <w:rPr>
          <w:rFonts w:ascii="Times New Roman" w:hAnsi="Times New Roman" w:cs="Times New Roman"/>
          <w:b/>
          <w:kern w:val="0"/>
          <w:sz w:val="24"/>
          <w:szCs w:val="24"/>
        </w:rPr>
        <w:t>average</w:t>
      </w:r>
      <w:r w:rsidR="0052318C" w:rsidRPr="003515B8">
        <w:rPr>
          <w:rFonts w:ascii="Times New Roman" w:hAnsi="Times New Roman" w:cs="Times New Roman"/>
          <w:b/>
          <w:kern w:val="0"/>
          <w:sz w:val="24"/>
          <w:szCs w:val="24"/>
        </w:rPr>
        <w:t>s</w:t>
      </w:r>
      <w:r w:rsidR="00BE33B1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of fundamentals</w:t>
      </w:r>
      <w:r w:rsidR="00A0581C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r w:rsidR="00BE33B1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are rarely used </w:t>
      </w:r>
    </w:p>
    <w:p w:rsidR="00B45C97" w:rsidRPr="003515B8" w:rsidRDefault="00F86B2D" w:rsidP="00B45C97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There are a fast-growing body of literature on machine learning (ML) as applied to asset pricing</w:t>
      </w:r>
    </w:p>
    <w:p w:rsidR="00B45C97" w:rsidRPr="003515B8" w:rsidRDefault="00B45C97" w:rsidP="00B45C97">
      <w:pPr>
        <w:pStyle w:val="3"/>
        <w:numPr>
          <w:ilvl w:val="0"/>
          <w:numId w:val="2"/>
        </w:numPr>
        <w:rPr>
          <w:rFonts w:ascii="Times New Roman" w:hAnsi="Times New Roman" w:cs="Times New Roman"/>
          <w:kern w:val="0"/>
          <w:sz w:val="24"/>
          <w:szCs w:val="24"/>
        </w:rPr>
      </w:pPr>
      <w:r w:rsidRPr="003515B8">
        <w:rPr>
          <w:rFonts w:ascii="Times New Roman" w:hAnsi="Times New Roman" w:cs="Times New Roman"/>
        </w:rPr>
        <w:t>Related literature</w:t>
      </w:r>
    </w:p>
    <w:p w:rsidR="00D10ACB" w:rsidRPr="003515B8" w:rsidRDefault="00A575CE" w:rsidP="00A575CE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moving averages of prices : momentum (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Jegadeesh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and Titman, 1993), 52-week highs (George and Hwang, 2004), price trends (Han, Zhou, and Zhu, 2016), earnings momentum (Ball and Brown, 1968)</w:t>
      </w:r>
    </w:p>
    <w:p w:rsidR="00850511" w:rsidRPr="003515B8" w:rsidRDefault="00882C2D" w:rsidP="00850511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based on fundamentals: termed BG (Bartram and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Grinblatt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, 2018) , The F-score</w:t>
      </w:r>
      <w:r w:rsidR="00FD4C43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(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Piotroski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, 2000) , </w:t>
      </w:r>
      <w:r w:rsidR="00FD4C43" w:rsidRPr="003515B8">
        <w:rPr>
          <w:rFonts w:ascii="Times New Roman" w:hAnsi="Times New Roman" w:cs="Times New Roman"/>
          <w:b/>
          <w:kern w:val="0"/>
          <w:sz w:val="24"/>
          <w:szCs w:val="24"/>
        </w:rPr>
        <w:t>The G-score (</w:t>
      </w:r>
      <w:proofErr w:type="spellStart"/>
      <w:r w:rsidR="00FD4C43" w:rsidRPr="003515B8">
        <w:rPr>
          <w:rFonts w:ascii="Times New Roman" w:hAnsi="Times New Roman" w:cs="Times New Roman"/>
          <w:b/>
          <w:kern w:val="0"/>
          <w:sz w:val="24"/>
          <w:szCs w:val="24"/>
        </w:rPr>
        <w:t>Mohanram</w:t>
      </w:r>
      <w:proofErr w:type="spellEnd"/>
      <w:r w:rsidR="00FD4C43" w:rsidRPr="003515B8">
        <w:rPr>
          <w:rFonts w:ascii="Times New Roman" w:hAnsi="Times New Roman" w:cs="Times New Roman"/>
          <w:b/>
          <w:kern w:val="0"/>
          <w:sz w:val="24"/>
          <w:szCs w:val="24"/>
        </w:rPr>
        <w:t>, 2005) …all factors in group three of the FM regression control variables comes from literature</w:t>
      </w:r>
    </w:p>
    <w:p w:rsidR="00B55A02" w:rsidRPr="003515B8" w:rsidRDefault="00B055C1" w:rsidP="00B55A02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ML applied in asset pricing: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Gu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, Kelly, and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Xiu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(2020),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Avramov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, Cheng, and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Metzker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(2019), Chen,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Pelger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, and Zhu (2019), and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Feng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, Polson, and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Xu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(2019)</w:t>
      </w:r>
      <w:r w:rsidR="00850511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, </w:t>
      </w:r>
      <w:proofErr w:type="spellStart"/>
      <w:r w:rsidR="00850511" w:rsidRPr="003515B8">
        <w:rPr>
          <w:rFonts w:ascii="Times New Roman" w:hAnsi="Times New Roman" w:cs="Times New Roman"/>
          <w:b/>
          <w:kern w:val="0"/>
          <w:sz w:val="24"/>
          <w:szCs w:val="24"/>
        </w:rPr>
        <w:t>Chinco</w:t>
      </w:r>
      <w:proofErr w:type="spellEnd"/>
      <w:r w:rsidR="00850511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, Clark-Joseph, and Ye (2019), </w:t>
      </w:r>
      <w:proofErr w:type="spellStart"/>
      <w:r w:rsidR="00850511" w:rsidRPr="003515B8">
        <w:rPr>
          <w:rFonts w:ascii="Times New Roman" w:hAnsi="Times New Roman" w:cs="Times New Roman"/>
          <w:b/>
          <w:kern w:val="0"/>
          <w:sz w:val="24"/>
          <w:szCs w:val="24"/>
        </w:rPr>
        <w:t>Jia</w:t>
      </w:r>
      <w:proofErr w:type="spellEnd"/>
      <w:r w:rsidR="00850511" w:rsidRPr="003515B8">
        <w:rPr>
          <w:rFonts w:ascii="Times New Roman" w:hAnsi="Times New Roman" w:cs="Times New Roman"/>
          <w:b/>
          <w:kern w:val="0"/>
          <w:sz w:val="24"/>
          <w:szCs w:val="24"/>
        </w:rPr>
        <w:t>, Wu, and Yan (2019)</w:t>
      </w:r>
    </w:p>
    <w:p w:rsidR="0017461E" w:rsidRPr="003515B8" w:rsidRDefault="00B55A02" w:rsidP="00C40E34"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t>Motivation/ Research Problem</w:t>
      </w:r>
    </w:p>
    <w:p w:rsidR="00C40E34" w:rsidRPr="003515B8" w:rsidRDefault="00895DF6" w:rsidP="00895DF6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Exploring the viability of return predictability from moving averages of financial statement items</w:t>
      </w:r>
    </w:p>
    <w:p w:rsidR="0017461E" w:rsidRPr="003515B8" w:rsidRDefault="00E42C6F" w:rsidP="0017461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Trying to explain</w:t>
      </w:r>
      <w:r w:rsidR="00093330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why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the FDI</w:t>
      </w:r>
      <w:r w:rsidR="00D84B0C">
        <w:rPr>
          <w:rFonts w:ascii="Times New Roman" w:hAnsi="Times New Roman" w:cs="Times New Roman" w:hint="eastAsia"/>
          <w:b/>
          <w:kern w:val="0"/>
          <w:sz w:val="24"/>
          <w:szCs w:val="24"/>
        </w:rPr>
        <w:t xml:space="preserve"> </w:t>
      </w:r>
      <w:r w:rsidR="00B0035B" w:rsidRPr="003515B8">
        <w:rPr>
          <w:rFonts w:ascii="Times New Roman" w:hAnsi="Times New Roman" w:cs="Times New Roman"/>
          <w:b/>
          <w:kern w:val="0"/>
          <w:sz w:val="24"/>
          <w:szCs w:val="24"/>
        </w:rPr>
        <w:t>yield positive abnormal profits</w:t>
      </w:r>
    </w:p>
    <w:p w:rsidR="00A550D8" w:rsidRPr="003515B8" w:rsidRDefault="00A550D8" w:rsidP="00A550D8">
      <w:pPr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AF4505" w:rsidRPr="003515B8" w:rsidRDefault="00D10ACB" w:rsidP="00AF4505">
      <w:pPr>
        <w:pStyle w:val="3"/>
        <w:numPr>
          <w:ilvl w:val="0"/>
          <w:numId w:val="5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lastRenderedPageBreak/>
        <w:t>Contribution</w:t>
      </w:r>
    </w:p>
    <w:p w:rsidR="004741CB" w:rsidRPr="003515B8" w:rsidRDefault="00AF4505" w:rsidP="004741CB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</w:t>
      </w:r>
      <w:r w:rsidR="00D10ACB" w:rsidRPr="003515B8">
        <w:rPr>
          <w:rFonts w:ascii="Times New Roman" w:hAnsi="Times New Roman" w:cs="Times New Roman"/>
          <w:b/>
          <w:kern w:val="0"/>
          <w:sz w:val="24"/>
          <w:szCs w:val="24"/>
        </w:rPr>
        <w:t>he first to show that rules based on fundamentals’ deviations from past moving averages are profitable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, provide a different context in which moving-average-based rules are applicable.</w:t>
      </w:r>
    </w:p>
    <w:p w:rsidR="004B07B1" w:rsidRPr="003515B8" w:rsidRDefault="004741CB" w:rsidP="004B07B1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contribute to the fast-growing literature on machine learning (ML) as applied to asset pricing</w:t>
      </w:r>
    </w:p>
    <w:p w:rsidR="00AF4505" w:rsidRDefault="004B07B1" w:rsidP="004B07B1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 w:hint="eastAsia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related to the notion developed in recent years that investors’ expectations are slow-moving relative to a Bayesian</w:t>
      </w:r>
    </w:p>
    <w:p w:rsidR="00576A57" w:rsidRDefault="00576A57" w:rsidP="00576A57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b/>
          <w:kern w:val="0"/>
          <w:sz w:val="24"/>
          <w:szCs w:val="24"/>
        </w:rPr>
      </w:pPr>
    </w:p>
    <w:p w:rsidR="00576A57" w:rsidRDefault="00576A57" w:rsidP="00576A57">
      <w:pPr>
        <w:pStyle w:val="3"/>
        <w:numPr>
          <w:ilvl w:val="0"/>
          <w:numId w:val="5"/>
        </w:numPr>
        <w:rPr>
          <w:rFonts w:ascii="Times New Roman" w:hAnsi="Times New Roman" w:cs="Times New Roman" w:hint="eastAsia"/>
        </w:rPr>
      </w:pPr>
      <w:r w:rsidRPr="00576A57">
        <w:rPr>
          <w:rFonts w:ascii="Times New Roman" w:hAnsi="Times New Roman" w:cs="Times New Roman" w:hint="eastAsia"/>
        </w:rPr>
        <w:t>Outline</w:t>
      </w:r>
    </w:p>
    <w:p w:rsidR="003A08A1" w:rsidRDefault="00576A57" w:rsidP="003A08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31668" cy="3725501"/>
            <wp:effectExtent l="0" t="0" r="12065" b="8890"/>
            <wp:docPr id="34" name="图示 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3A08A1" w:rsidRDefault="003A08A1" w:rsidP="003A08A1">
      <w:pPr>
        <w:rPr>
          <w:rFonts w:hint="eastAsia"/>
        </w:rPr>
      </w:pPr>
    </w:p>
    <w:p w:rsidR="003A08A1" w:rsidRDefault="003A08A1" w:rsidP="003A08A1">
      <w:pPr>
        <w:rPr>
          <w:rFonts w:hint="eastAsia"/>
        </w:rPr>
      </w:pPr>
    </w:p>
    <w:p w:rsidR="003A08A1" w:rsidRDefault="003A08A1" w:rsidP="003A08A1">
      <w:pPr>
        <w:rPr>
          <w:rFonts w:hint="eastAsia"/>
        </w:rPr>
      </w:pPr>
    </w:p>
    <w:p w:rsidR="003A08A1" w:rsidRPr="003A08A1" w:rsidRDefault="003A08A1" w:rsidP="003A08A1">
      <w:pPr>
        <w:rPr>
          <w:rFonts w:hint="eastAsia"/>
        </w:rPr>
      </w:pPr>
    </w:p>
    <w:p w:rsidR="0083097B" w:rsidRPr="003515B8" w:rsidRDefault="0083097B" w:rsidP="0083097B">
      <w:pPr>
        <w:pStyle w:val="2"/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lastRenderedPageBreak/>
        <w:t>Research Design</w:t>
      </w:r>
    </w:p>
    <w:p w:rsidR="0083097B" w:rsidRPr="003515B8" w:rsidRDefault="004B7DAD" w:rsidP="00692424"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t>FDI construction</w:t>
      </w:r>
    </w:p>
    <w:p w:rsidR="00D24A12" w:rsidRPr="003515B8" w:rsidRDefault="004B7DAD" w:rsidP="00D24A12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Fundamental Deviation Index (FDI) </w:t>
      </w:r>
      <w:r w:rsidR="009C175F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is prediction of stock returns based on deviations for all </w:t>
      </w:r>
      <w:proofErr w:type="spellStart"/>
      <w:r w:rsidR="009C175F" w:rsidRPr="003515B8">
        <w:rPr>
          <w:rFonts w:ascii="Times New Roman" w:hAnsi="Times New Roman" w:cs="Times New Roman"/>
          <w:b/>
          <w:kern w:val="0"/>
          <w:sz w:val="24"/>
          <w:szCs w:val="24"/>
        </w:rPr>
        <w:t>Compustat</w:t>
      </w:r>
      <w:proofErr w:type="spellEnd"/>
      <w:r w:rsidR="009C175F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proofErr w:type="spellStart"/>
      <w:r w:rsidR="009C175F" w:rsidRPr="003515B8">
        <w:rPr>
          <w:rFonts w:ascii="Times New Roman" w:hAnsi="Times New Roman" w:cs="Times New Roman"/>
          <w:b/>
          <w:kern w:val="0"/>
          <w:sz w:val="24"/>
          <w:szCs w:val="24"/>
        </w:rPr>
        <w:t>Unrestated</w:t>
      </w:r>
      <w:proofErr w:type="spellEnd"/>
      <w:r w:rsidR="009C175F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quarterly accounting variables.</w:t>
      </w:r>
    </w:p>
    <w:p w:rsidR="00D24A12" w:rsidRPr="003515B8" w:rsidRDefault="00D24A12" w:rsidP="001C77D3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Deviation: the difference between the most recent quarterly release and the average over the preceding three quarters, scaled by total</w:t>
      </w:r>
      <w:r w:rsidR="001C77D3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assets. Each deviation is then assigned a percentile relative to all stocks’ deviations in that month as an input of </w:t>
      </w:r>
      <w:r w:rsidR="00550409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ML </w:t>
      </w:r>
      <w:r w:rsidR="001C77D3" w:rsidRPr="003515B8">
        <w:rPr>
          <w:rFonts w:ascii="Times New Roman" w:hAnsi="Times New Roman" w:cs="Times New Roman"/>
          <w:b/>
          <w:kern w:val="0"/>
          <w:sz w:val="24"/>
          <w:szCs w:val="24"/>
        </w:rPr>
        <w:t>regression.</w:t>
      </w:r>
    </w:p>
    <w:p w:rsidR="009C175F" w:rsidRPr="003515B8" w:rsidRDefault="0001433A" w:rsidP="00D57E64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For each month J, We run a LASSO</w:t>
      </w:r>
      <w:r w:rsidR="004E6386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(also replaced with ridge regressions and elastic net</w:t>
      </w:r>
      <w:r w:rsidR="002C0892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, index name as </w:t>
      </w:r>
      <w:proofErr w:type="spellStart"/>
      <w:r w:rsidR="002C0892" w:rsidRPr="003515B8">
        <w:rPr>
          <w:rFonts w:ascii="Times New Roman" w:hAnsi="Times New Roman" w:cs="Times New Roman"/>
          <w:b/>
          <w:kern w:val="0"/>
          <w:sz w:val="24"/>
          <w:szCs w:val="24"/>
        </w:rPr>
        <w:t>FDIRdg</w:t>
      </w:r>
      <w:proofErr w:type="spellEnd"/>
      <w:r w:rsidR="002C0892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and </w:t>
      </w:r>
      <w:proofErr w:type="spellStart"/>
      <w:r w:rsidR="002C0892" w:rsidRPr="003515B8">
        <w:rPr>
          <w:rFonts w:ascii="Times New Roman" w:hAnsi="Times New Roman" w:cs="Times New Roman"/>
          <w:b/>
          <w:kern w:val="0"/>
          <w:sz w:val="24"/>
          <w:szCs w:val="24"/>
        </w:rPr>
        <w:t>FDIEn</w:t>
      </w:r>
      <w:proofErr w:type="spellEnd"/>
      <w:r w:rsidR="004E6386" w:rsidRPr="003515B8">
        <w:rPr>
          <w:rFonts w:ascii="Times New Roman" w:hAnsi="Times New Roman" w:cs="Times New Roman"/>
          <w:b/>
          <w:kern w:val="0"/>
          <w:sz w:val="24"/>
          <w:szCs w:val="24"/>
        </w:rPr>
        <w:t>)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panel regression</w:t>
      </w:r>
      <w:r w:rsidR="000974F0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(without intercept)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of monthly </w:t>
      </w:r>
      <w:r w:rsidR="00567C5A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stock 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returns realized up to month J on previous-months’ deviations.</w:t>
      </w:r>
      <w:r w:rsidR="00D57E64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FDI </w:t>
      </w:r>
      <w:r w:rsidR="00567C5A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is </w:t>
      </w:r>
      <w:r w:rsidR="00D57E64" w:rsidRPr="003515B8">
        <w:rPr>
          <w:rFonts w:ascii="Times New Roman" w:hAnsi="Times New Roman" w:cs="Times New Roman"/>
          <w:b/>
          <w:kern w:val="0"/>
          <w:sz w:val="24"/>
          <w:szCs w:val="24"/>
        </w:rPr>
        <w:t>computed as the fitted value of the panel regression using time J realizations of deviation variables.</w:t>
      </w:r>
    </w:p>
    <w:p w:rsidR="00032519" w:rsidRPr="003515B8" w:rsidRDefault="00032519" w:rsidP="001028FA"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t>Data</w:t>
      </w:r>
    </w:p>
    <w:p w:rsidR="001028FA" w:rsidRPr="003515B8" w:rsidRDefault="001028FA" w:rsidP="001028FA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Database: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Computstat</w:t>
      </w:r>
      <w:proofErr w:type="spellEnd"/>
    </w:p>
    <w:p w:rsidR="003A08A1" w:rsidRPr="00EB22D9" w:rsidRDefault="001028FA" w:rsidP="003A08A1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Sample: all U.S. firms listed on the NYSE, AMEX, and NASDAQ with share codes 10 and 11, with positive equity book values in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Compustat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for the previous year, an end-of-month price above $5, trading during the month, and having return or earnings at least one observations for the previous 12 months.</w:t>
      </w:r>
      <w:r w:rsidR="00502DD0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1987 through December 2017, 1,089,518 firm-month observations per 12,024 firms</w:t>
      </w:r>
    </w:p>
    <w:p w:rsidR="00ED3B3E" w:rsidRPr="003515B8" w:rsidRDefault="00ED3B3E" w:rsidP="00ED3B3E"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t>Control variables</w:t>
      </w:r>
      <w:r w:rsidR="00F9461F" w:rsidRPr="003515B8">
        <w:rPr>
          <w:rFonts w:ascii="Times New Roman" w:hAnsi="Times New Roman" w:cs="Times New Roman"/>
        </w:rPr>
        <w:t xml:space="preserve"> (factors)</w:t>
      </w:r>
    </w:p>
    <w:p w:rsidR="00EA501A" w:rsidRPr="003515B8" w:rsidRDefault="00865A27" w:rsidP="00865A27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usual style characteristics</w:t>
      </w:r>
      <w:r w:rsidR="00EA501A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r w:rsidR="00127BED" w:rsidRPr="003515B8">
        <w:rPr>
          <w:rFonts w:ascii="Times New Roman" w:hAnsi="Times New Roman" w:cs="Times New Roman"/>
          <w:b/>
          <w:kern w:val="0"/>
          <w:sz w:val="24"/>
          <w:szCs w:val="24"/>
        </w:rPr>
        <w:t>variables</w:t>
      </w:r>
    </w:p>
    <w:p w:rsidR="00F9461F" w:rsidRPr="003515B8" w:rsidRDefault="00127BED" w:rsidP="00865A27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variables</w:t>
      </w:r>
      <w:r w:rsidR="00EA501A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r w:rsidR="00F9461F" w:rsidRPr="003515B8">
        <w:rPr>
          <w:rFonts w:ascii="Times New Roman" w:hAnsi="Times New Roman" w:cs="Times New Roman"/>
          <w:b/>
          <w:kern w:val="0"/>
          <w:sz w:val="24"/>
          <w:szCs w:val="24"/>
        </w:rPr>
        <w:t>associated with past prices</w:t>
      </w:r>
    </w:p>
    <w:p w:rsidR="00A257DB" w:rsidRPr="003515B8" w:rsidRDefault="00EA501A" w:rsidP="00BE5816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fundamental related </w:t>
      </w:r>
      <w:r w:rsidR="00127BED" w:rsidRPr="003515B8">
        <w:rPr>
          <w:rFonts w:ascii="Times New Roman" w:hAnsi="Times New Roman" w:cs="Times New Roman"/>
          <w:b/>
          <w:kern w:val="0"/>
          <w:sz w:val="24"/>
          <w:szCs w:val="24"/>
        </w:rPr>
        <w:t>variables</w:t>
      </w:r>
    </w:p>
    <w:p w:rsidR="00DE10A2" w:rsidRDefault="00127BED" w:rsidP="00ED3B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 w:hint="eastAsia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variables</w:t>
      </w:r>
      <w:r w:rsidR="00BE5816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capture limits to arbitrage</w:t>
      </w:r>
    </w:p>
    <w:p w:rsidR="00EB22D9" w:rsidRPr="00FB7FBD" w:rsidRDefault="00EB22D9" w:rsidP="00EB22D9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4C5A69" w:rsidRPr="003515B8" w:rsidRDefault="004C5A69" w:rsidP="004C5A69">
      <w:pPr>
        <w:pStyle w:val="2"/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lastRenderedPageBreak/>
        <w:t>Empirical Result</w:t>
      </w:r>
    </w:p>
    <w:p w:rsidR="000926DB" w:rsidRPr="003515B8" w:rsidRDefault="00CF31D0" w:rsidP="000926DB"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t xml:space="preserve">Deviation </w:t>
      </w:r>
      <w:r w:rsidR="000926DB" w:rsidRPr="003515B8">
        <w:rPr>
          <w:rFonts w:ascii="Times New Roman" w:hAnsi="Times New Roman" w:cs="Times New Roman"/>
        </w:rPr>
        <w:t>Variables</w:t>
      </w:r>
      <w:r w:rsidR="005333E2" w:rsidRPr="003515B8">
        <w:rPr>
          <w:rFonts w:ascii="Times New Roman" w:hAnsi="Times New Roman" w:cs="Times New Roman"/>
        </w:rPr>
        <w:t xml:space="preserve"> selection</w:t>
      </w:r>
    </w:p>
    <w:p w:rsidR="004C5A69" w:rsidRPr="003515B8" w:rsidRDefault="000926DB" w:rsidP="000346E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Starting with a universe of 105 deviation variables, about 93 are retained at least once in constructing FDI. </w:t>
      </w:r>
      <w:r w:rsidR="000346E7" w:rsidRPr="003515B8">
        <w:rPr>
          <w:rFonts w:ascii="Times New Roman" w:hAnsi="Times New Roman" w:cs="Times New Roman"/>
          <w:b/>
          <w:kern w:val="0"/>
          <w:sz w:val="24"/>
          <w:szCs w:val="24"/>
        </w:rPr>
        <w:t>O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nly 11 deviations </w:t>
      </w:r>
      <w:r w:rsidR="000346E7" w:rsidRPr="003515B8">
        <w:rPr>
          <w:rFonts w:ascii="Times New Roman" w:hAnsi="Times New Roman" w:cs="Times New Roman"/>
          <w:b/>
          <w:kern w:val="0"/>
          <w:sz w:val="24"/>
          <w:szCs w:val="24"/>
        </w:rPr>
        <w:t>are retained at least 180 times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and additional 22 deviations are retained at least 120 times.</w:t>
      </w:r>
      <w:r w:rsidR="000346E7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Deviations in cash, accounts payable,</w:t>
      </w:r>
      <w:r w:rsidR="0053692D">
        <w:rPr>
          <w:rFonts w:ascii="Times New Roman" w:hAnsi="Times New Roman" w:cs="Times New Roman" w:hint="eastAsia"/>
          <w:b/>
          <w:kern w:val="0"/>
          <w:sz w:val="24"/>
          <w:szCs w:val="24"/>
        </w:rPr>
        <w:t xml:space="preserve"> </w:t>
      </w:r>
      <w:r w:rsidR="000346E7" w:rsidRPr="003515B8">
        <w:rPr>
          <w:rFonts w:ascii="Times New Roman" w:hAnsi="Times New Roman" w:cs="Times New Roman"/>
          <w:b/>
          <w:kern w:val="0"/>
          <w:sz w:val="24"/>
          <w:szCs w:val="24"/>
        </w:rPr>
        <w:t>capital surplus (negative weight), debt reduction, assets (negative weight), earnings per share, inventories (negative weight), and cash dividends are the most frequently selected.</w:t>
      </w:r>
      <w:r w:rsidR="009B782C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(</w:t>
      </w:r>
      <w:proofErr w:type="gramStart"/>
      <w:r w:rsidR="009B782C" w:rsidRPr="003515B8">
        <w:rPr>
          <w:rFonts w:ascii="Times New Roman" w:hAnsi="Times New Roman" w:cs="Times New Roman"/>
          <w:b/>
          <w:kern w:val="0"/>
          <w:sz w:val="24"/>
          <w:szCs w:val="24"/>
        </w:rPr>
        <w:t>see</w:t>
      </w:r>
      <w:proofErr w:type="gramEnd"/>
      <w:r w:rsidR="009B782C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Appendix B)</w:t>
      </w:r>
    </w:p>
    <w:p w:rsidR="00635E91" w:rsidRPr="003515B8" w:rsidRDefault="003F7C53" w:rsidP="003F7C53"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t>The ability of FDI to predict future stock returns</w:t>
      </w:r>
    </w:p>
    <w:p w:rsidR="003A5E84" w:rsidRPr="003515B8" w:rsidRDefault="008612D2" w:rsidP="003A5E84">
      <w:pPr>
        <w:pStyle w:val="4"/>
        <w:numPr>
          <w:ilvl w:val="0"/>
          <w:numId w:val="2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  <w:kern w:val="0"/>
          <w:sz w:val="29"/>
          <w:szCs w:val="29"/>
        </w:rPr>
        <w:t>Cross-Sectional</w:t>
      </w:r>
      <w:r w:rsidRPr="003515B8">
        <w:rPr>
          <w:rFonts w:ascii="Times New Roman" w:hAnsi="Times New Roman" w:cs="Times New Roman"/>
        </w:rPr>
        <w:t xml:space="preserve"> </w:t>
      </w:r>
      <w:r w:rsidR="003A5E84" w:rsidRPr="003515B8">
        <w:rPr>
          <w:rFonts w:ascii="Times New Roman" w:hAnsi="Times New Roman" w:cs="Times New Roman"/>
        </w:rPr>
        <w:t>Regression</w:t>
      </w:r>
    </w:p>
    <w:p w:rsidR="0005487A" w:rsidRPr="003515B8" w:rsidRDefault="00F93CAC" w:rsidP="00BD42D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For each month, we </w:t>
      </w:r>
      <w:proofErr w:type="gram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regress</w:t>
      </w:r>
      <w:proofErr w:type="gram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monthly stock returns on FDI </w:t>
      </w:r>
      <w:r w:rsidR="0005487A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(replaced by </w:t>
      </w:r>
      <w:proofErr w:type="spellStart"/>
      <w:r w:rsidR="0005487A" w:rsidRPr="003515B8">
        <w:rPr>
          <w:rFonts w:ascii="Times New Roman" w:hAnsi="Times New Roman" w:cs="Times New Roman"/>
          <w:b/>
          <w:kern w:val="0"/>
          <w:sz w:val="24"/>
          <w:szCs w:val="24"/>
        </w:rPr>
        <w:t>FDIRdg</w:t>
      </w:r>
      <w:proofErr w:type="spellEnd"/>
      <w:r w:rsidR="0005487A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and </w:t>
      </w:r>
      <w:proofErr w:type="spellStart"/>
      <w:r w:rsidR="0005487A" w:rsidRPr="003515B8">
        <w:rPr>
          <w:rFonts w:ascii="Times New Roman" w:hAnsi="Times New Roman" w:cs="Times New Roman"/>
          <w:b/>
          <w:kern w:val="0"/>
          <w:sz w:val="24"/>
          <w:szCs w:val="24"/>
        </w:rPr>
        <w:t>FDIEn</w:t>
      </w:r>
      <w:proofErr w:type="spellEnd"/>
      <w:r w:rsidR="0005487A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) 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and </w:t>
      </w:r>
      <w:r w:rsidR="00171C55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other selected 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predictive characteristics as control variables.</w:t>
      </w:r>
      <w:r w:rsidR="0025119B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We only notice the statistical significance here.</w:t>
      </w:r>
      <w:r w:rsidR="0005487A" w:rsidRPr="003515B8">
        <w:rPr>
          <w:rFonts w:ascii="Times New Roman" w:hAnsi="Times New Roman" w:cs="Times New Roman"/>
          <w:b/>
        </w:rPr>
        <w:t xml:space="preserve"> </w:t>
      </w:r>
    </w:p>
    <w:p w:rsidR="00EE2E85" w:rsidRPr="003515B8" w:rsidRDefault="00465E57" w:rsidP="00EE2E85">
      <w:pPr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5B466D" wp14:editId="5EA96FA7">
                <wp:simplePos x="0" y="0"/>
                <wp:positionH relativeFrom="column">
                  <wp:posOffset>2995126</wp:posOffset>
                </wp:positionH>
                <wp:positionV relativeFrom="paragraph">
                  <wp:posOffset>678439</wp:posOffset>
                </wp:positionV>
                <wp:extent cx="508285" cy="317241"/>
                <wp:effectExtent l="0" t="0" r="25400" b="26035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285" cy="31724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圆角矩形 6" o:spid="_x0000_s1026" style="position:absolute;left:0;text-align:left;margin-left:235.85pt;margin-top:53.4pt;width:40pt;height: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" filled="f" strokecolor="red" strokeweight="2pt"/>
            </w:pict>
          </mc:Fallback>
        </mc:AlternateContent>
      </w:r>
      <w:r w:rsidR="009E0C2F"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252D5261" wp14:editId="56BE1E9D">
            <wp:extent cx="5271796" cy="1051809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2701"/>
                    <a:stretch/>
                  </pic:blipFill>
                  <pic:spPr bwMode="auto">
                    <a:xfrm>
                      <a:off x="0" y="0"/>
                      <a:ext cx="5274310" cy="105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C2F" w:rsidRPr="003515B8" w:rsidRDefault="00C7148D" w:rsidP="00EB04FB">
      <w:pPr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A962E5" wp14:editId="3B43E0AE">
                <wp:simplePos x="0" y="0"/>
                <wp:positionH relativeFrom="column">
                  <wp:posOffset>2992587</wp:posOffset>
                </wp:positionH>
                <wp:positionV relativeFrom="paragraph">
                  <wp:posOffset>2192136</wp:posOffset>
                </wp:positionV>
                <wp:extent cx="502920" cy="274955"/>
                <wp:effectExtent l="0" t="0" r="11430" b="10795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749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48D" w:rsidRDefault="00C7148D" w:rsidP="00C7148D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E776A2">
                              <w:rPr>
                                <w:rFonts w:ascii="Fp" w:hAnsi="Fp" w:cs="Fp"/>
                                <w:kern w:val="0"/>
                                <w:sz w:val="24"/>
                                <w:szCs w:val="24"/>
                              </w:rPr>
                              <w:t>hly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1" o:spid="_x0000_s1026" style="position:absolute;left:0;text-align:left;margin-left:235.65pt;margin-top:172.6pt;width:39.6pt;height:21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" filled="f" strokecolor="red" strokeweight="2pt">
                <v:textbox>
                  <w:txbxContent>
                    <w:p w:rsidR="00C7148D" w:rsidRDefault="00C7148D" w:rsidP="00C7148D">
                      <w:pPr>
                        <w:jc w:val="center"/>
                      </w:pPr>
                      <w:proofErr w:type="spellStart"/>
                      <w:proofErr w:type="gramStart"/>
                      <w:r w:rsidRPr="00E776A2">
                        <w:rPr>
                          <w:rFonts w:ascii="Fp" w:hAnsi="Fp" w:cs="Fp"/>
                          <w:kern w:val="0"/>
                          <w:sz w:val="24"/>
                          <w:szCs w:val="24"/>
                        </w:rPr>
                        <w:t>hly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Pr="003515B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0F45DC" wp14:editId="02F7C9D0">
                <wp:simplePos x="0" y="0"/>
                <wp:positionH relativeFrom="column">
                  <wp:posOffset>3003265</wp:posOffset>
                </wp:positionH>
                <wp:positionV relativeFrom="paragraph">
                  <wp:posOffset>1914875</wp:posOffset>
                </wp:positionV>
                <wp:extent cx="502920" cy="274955"/>
                <wp:effectExtent l="0" t="0" r="11430" b="10795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749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48D" w:rsidRDefault="00C7148D" w:rsidP="00C7148D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E776A2">
                              <w:rPr>
                                <w:rFonts w:ascii="Fp" w:hAnsi="Fp" w:cs="Fp"/>
                                <w:kern w:val="0"/>
                                <w:sz w:val="24"/>
                                <w:szCs w:val="24"/>
                              </w:rPr>
                              <w:t>hly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0" o:spid="_x0000_s1027" style="position:absolute;left:0;text-align:left;margin-left:236.5pt;margin-top:150.8pt;width:39.6pt;height:21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" filled="f" strokecolor="red" strokeweight="2pt">
                <v:textbox>
                  <w:txbxContent>
                    <w:p w:rsidR="00C7148D" w:rsidRDefault="00C7148D" w:rsidP="00C7148D">
                      <w:pPr>
                        <w:jc w:val="center"/>
                      </w:pPr>
                      <w:proofErr w:type="spellStart"/>
                      <w:proofErr w:type="gramStart"/>
                      <w:r w:rsidRPr="00E776A2">
                        <w:rPr>
                          <w:rFonts w:ascii="Fp" w:hAnsi="Fp" w:cs="Fp"/>
                          <w:kern w:val="0"/>
                          <w:sz w:val="24"/>
                          <w:szCs w:val="24"/>
                        </w:rPr>
                        <w:t>hly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8563D9" w:rsidRPr="003515B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05EF93" wp14:editId="39C4D164">
                <wp:simplePos x="0" y="0"/>
                <wp:positionH relativeFrom="column">
                  <wp:posOffset>2999740</wp:posOffset>
                </wp:positionH>
                <wp:positionV relativeFrom="paragraph">
                  <wp:posOffset>673320</wp:posOffset>
                </wp:positionV>
                <wp:extent cx="502920" cy="274955"/>
                <wp:effectExtent l="0" t="0" r="11430" b="10795"/>
                <wp:wrapNone/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749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148D" w:rsidRDefault="00C7148D" w:rsidP="00C7148D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E776A2">
                              <w:rPr>
                                <w:rFonts w:ascii="Fp" w:hAnsi="Fp" w:cs="Fp"/>
                                <w:kern w:val="0"/>
                                <w:sz w:val="24"/>
                                <w:szCs w:val="24"/>
                              </w:rPr>
                              <w:t>hly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8" o:spid="_x0000_s1028" style="position:absolute;left:0;text-align:left;margin-left:236.2pt;margin-top:53pt;width:39.6pt;height:21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" filled="f" strokecolor="red" strokeweight="2pt">
                <v:textbox>
                  <w:txbxContent>
                    <w:p w:rsidR="00C7148D" w:rsidRDefault="00C7148D" w:rsidP="00C7148D">
                      <w:pPr>
                        <w:jc w:val="center"/>
                      </w:pPr>
                      <w:proofErr w:type="spellStart"/>
                      <w:proofErr w:type="gramStart"/>
                      <w:r w:rsidRPr="00E776A2">
                        <w:rPr>
                          <w:rFonts w:ascii="Fp" w:hAnsi="Fp" w:cs="Fp"/>
                          <w:kern w:val="0"/>
                          <w:sz w:val="24"/>
                          <w:szCs w:val="24"/>
                        </w:rPr>
                        <w:t>hly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8563D9" w:rsidRPr="003515B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A1C4D1" wp14:editId="2F085773">
                <wp:simplePos x="0" y="0"/>
                <wp:positionH relativeFrom="column">
                  <wp:posOffset>2999740</wp:posOffset>
                </wp:positionH>
                <wp:positionV relativeFrom="paragraph">
                  <wp:posOffset>961805</wp:posOffset>
                </wp:positionV>
                <wp:extent cx="508285" cy="821094"/>
                <wp:effectExtent l="0" t="0" r="25400" b="17145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285" cy="82109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9" o:spid="_x0000_s1026" style="position:absolute;left:0;text-align:left;margin-left:236.2pt;margin-top:75.75pt;width:40pt;height:6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" filled="f" strokecolor="red" strokeweight="2pt"/>
            </w:pict>
          </mc:Fallback>
        </mc:AlternateContent>
      </w:r>
      <w:r w:rsidR="009E0C2F"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6E0FA23A" wp14:editId="68CF87E6">
            <wp:extent cx="5274310" cy="24415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A2" w:rsidRPr="003515B8" w:rsidRDefault="00E776A2" w:rsidP="00E776A2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FDI coefficient is highly significant,</w:t>
      </w:r>
      <w:r w:rsidR="008563D9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even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r w:rsidR="008563D9" w:rsidRPr="003515B8">
        <w:rPr>
          <w:rFonts w:ascii="Times New Roman" w:hAnsi="Times New Roman" w:cs="Times New Roman"/>
          <w:b/>
          <w:kern w:val="0"/>
          <w:sz w:val="24"/>
          <w:szCs w:val="24"/>
        </w:rPr>
        <w:t>with all other control variables</w:t>
      </w:r>
    </w:p>
    <w:p w:rsidR="00E776A2" w:rsidRPr="003515B8" w:rsidRDefault="00516F61" w:rsidP="00E776A2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FDI coefficient is significant, in longer</w:t>
      </w:r>
      <w:r w:rsidR="005F542B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and further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investment horizon</w:t>
      </w:r>
    </w:p>
    <w:p w:rsidR="000E48D9" w:rsidRPr="00256E76" w:rsidRDefault="00140745" w:rsidP="00450750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FDI coefficient is</w:t>
      </w:r>
      <w:r w:rsidR="000F6F64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highly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significant, excludes microcaps </w:t>
      </w:r>
      <w:r w:rsidR="000F6F64" w:rsidRPr="003515B8">
        <w:rPr>
          <w:rFonts w:ascii="Times New Roman" w:hAnsi="Times New Roman" w:cs="Times New Roman"/>
          <w:b/>
          <w:kern w:val="0"/>
          <w:sz w:val="24"/>
          <w:szCs w:val="24"/>
        </w:rPr>
        <w:t>and remain significant in recent years</w:t>
      </w:r>
    </w:p>
    <w:p w:rsidR="006E674B" w:rsidRPr="003515B8" w:rsidRDefault="00450750" w:rsidP="0045075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lastRenderedPageBreak/>
        <w:t>We then analyze the predictive power of FDI across different market states</w:t>
      </w:r>
      <w:r w:rsidR="0001325E" w:rsidRPr="003515B8">
        <w:rPr>
          <w:rFonts w:ascii="Times New Roman" w:hAnsi="Times New Roman" w:cs="Times New Roman"/>
          <w:b/>
          <w:kern w:val="0"/>
          <w:sz w:val="24"/>
          <w:szCs w:val="24"/>
        </w:rPr>
        <w:t>:</w:t>
      </w:r>
    </w:p>
    <w:p w:rsidR="0001325E" w:rsidRPr="003515B8" w:rsidRDefault="000E48D9" w:rsidP="0045075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7C9D73EB" wp14:editId="3F74F7C1">
            <wp:extent cx="5271796" cy="3913424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9592"/>
                    <a:stretch/>
                  </pic:blipFill>
                  <pic:spPr bwMode="auto">
                    <a:xfrm>
                      <a:off x="0" y="0"/>
                      <a:ext cx="5274310" cy="391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CBF" w:rsidRPr="003515B8" w:rsidRDefault="00D01CBF" w:rsidP="00FE0DFA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FDI coefficient’s high significance survives all the robustness tests and remains significance in all the scenario</w:t>
      </w:r>
    </w:p>
    <w:p w:rsidR="00E228D1" w:rsidRPr="003515B8" w:rsidRDefault="00B56541" w:rsidP="00E228D1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FDI survives BG</w:t>
      </w:r>
      <w:r w:rsidR="002752BE" w:rsidRPr="003515B8">
        <w:rPr>
          <w:rFonts w:ascii="Times New Roman" w:hAnsi="Times New Roman" w:cs="Times New Roman"/>
          <w:b/>
          <w:kern w:val="0"/>
          <w:sz w:val="24"/>
          <w:szCs w:val="24"/>
        </w:rPr>
        <w:t>(consist of 28 of the most common firm-level accounting variables)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related tests indicates</w:t>
      </w:r>
      <w:r w:rsidR="002752BE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that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it i</w:t>
      </w:r>
      <w:r w:rsidR="002752BE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s the deviations of performance 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components from preceding means, rather than the</w:t>
      </w:r>
      <w:r w:rsidR="002752BE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components themselves that drive return predictability.</w:t>
      </w:r>
    </w:p>
    <w:p w:rsidR="00040F39" w:rsidRPr="003515B8" w:rsidRDefault="00040F39" w:rsidP="00040F39">
      <w:pPr>
        <w:pStyle w:val="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515B8">
        <w:rPr>
          <w:rFonts w:ascii="Times New Roman" w:hAnsi="Times New Roman" w:cs="Times New Roman"/>
        </w:rPr>
        <w:t>Portfolio Analysis</w:t>
      </w:r>
    </w:p>
    <w:p w:rsidR="00040F39" w:rsidRPr="003515B8" w:rsidRDefault="00040F39" w:rsidP="00040F3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We next assess profitability of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decile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-based hedge portfolio strategies that employ FDI. The FDI strategy takes long (short) positions in top (bottom) FDI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deciles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.</w:t>
      </w:r>
      <w:r w:rsidR="00241FA4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</w:p>
    <w:p w:rsidR="00241FA4" w:rsidRPr="003515B8" w:rsidRDefault="00241FA4" w:rsidP="00040F3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05518AD9" wp14:editId="2448513E">
            <wp:extent cx="4161453" cy="2210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21268"/>
                    <a:stretch/>
                  </pic:blipFill>
                  <pic:spPr bwMode="auto">
                    <a:xfrm>
                      <a:off x="0" y="0"/>
                      <a:ext cx="4167102" cy="221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8D1" w:rsidRPr="003515B8" w:rsidRDefault="003426FC" w:rsidP="003E149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lastRenderedPageBreak/>
        <w:t>W</w:t>
      </w:r>
      <w:r w:rsidR="003E1498" w:rsidRPr="003515B8">
        <w:rPr>
          <w:rFonts w:ascii="Times New Roman" w:hAnsi="Times New Roman" w:cs="Times New Roman"/>
          <w:b/>
          <w:kern w:val="0"/>
          <w:sz w:val="24"/>
          <w:szCs w:val="24"/>
        </w:rPr>
        <w:t>e summarize annual alphas from the long-short extreme-</w:t>
      </w:r>
      <w:proofErr w:type="spellStart"/>
      <w:r w:rsidR="003E1498" w:rsidRPr="003515B8">
        <w:rPr>
          <w:rFonts w:ascii="Times New Roman" w:hAnsi="Times New Roman" w:cs="Times New Roman"/>
          <w:b/>
          <w:kern w:val="0"/>
          <w:sz w:val="24"/>
          <w:szCs w:val="24"/>
        </w:rPr>
        <w:t>decile</w:t>
      </w:r>
      <w:proofErr w:type="spellEnd"/>
      <w:r w:rsidR="003E1498" w:rsidRPr="003515B8">
        <w:rPr>
          <w:rFonts w:ascii="Times New Roman" w:hAnsi="Times New Roman" w:cs="Times New Roman"/>
          <w:b/>
          <w:kern w:val="0"/>
          <w:sz w:val="24"/>
          <w:szCs w:val="24"/>
        </w:rPr>
        <w:t>-based FDI strategy and their significance for holding periods ranging from one to 12 months.</w:t>
      </w:r>
    </w:p>
    <w:p w:rsidR="00A96DB2" w:rsidRPr="003515B8" w:rsidRDefault="00886664" w:rsidP="003E149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05618A06" wp14:editId="09F8BB22">
            <wp:extent cx="5019869" cy="2558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9587"/>
                    <a:stretch/>
                  </pic:blipFill>
                  <pic:spPr bwMode="auto">
                    <a:xfrm>
                      <a:off x="0" y="0"/>
                      <a:ext cx="5022263" cy="255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4A2" w:rsidRPr="003515B8" w:rsidRDefault="003426FC" w:rsidP="003E149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262FCE9C" wp14:editId="1316068C">
            <wp:extent cx="5019869" cy="2529274"/>
            <wp:effectExtent l="0" t="0" r="952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2263" cy="253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4F05F476" wp14:editId="32803746">
            <wp:extent cx="4940559" cy="2738542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2915" cy="27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CF" w:rsidRPr="003515B8" w:rsidRDefault="003F44A2" w:rsidP="003F44A2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The alphas are positive and significant for all horizons</w:t>
      </w:r>
      <w:r w:rsidR="00FF2ACF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</w:p>
    <w:p w:rsidR="003F44A2" w:rsidRPr="003515B8" w:rsidRDefault="00FF2ACF" w:rsidP="003F44A2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lastRenderedPageBreak/>
        <w:t>Result of three regression models are similar</w:t>
      </w:r>
    </w:p>
    <w:p w:rsidR="00EC2C60" w:rsidRPr="003515B8" w:rsidRDefault="003B30C5" w:rsidP="00EC2C60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The FDI effect is the asymmetry between top and bottom sides, which indicates that unlike many other anomalies, the FDI effect is more pronounced on the long leg.</w:t>
      </w:r>
    </w:p>
    <w:p w:rsidR="00EC2C60" w:rsidRPr="003515B8" w:rsidRDefault="00EC2C60" w:rsidP="00EC2C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4E7BA2" w:rsidRPr="003515B8" w:rsidRDefault="00EC2C60" w:rsidP="00EC2C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The transaction cost</w:t>
      </w:r>
      <w:r w:rsidR="00E951B4" w:rsidRPr="003515B8">
        <w:rPr>
          <w:rFonts w:ascii="Times New Roman" w:hAnsi="Times New Roman" w:cs="Times New Roman"/>
          <w:b/>
          <w:kern w:val="0"/>
          <w:sz w:val="24"/>
          <w:szCs w:val="24"/>
        </w:rPr>
        <w:t>s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r w:rsidR="00E951B4" w:rsidRPr="003515B8">
        <w:rPr>
          <w:rFonts w:ascii="Times New Roman" w:hAnsi="Times New Roman" w:cs="Times New Roman"/>
          <w:b/>
          <w:kern w:val="0"/>
          <w:sz w:val="24"/>
          <w:szCs w:val="24"/>
        </w:rPr>
        <w:t>are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considered to test the profitability of FDI Strategies </w:t>
      </w:r>
      <w:r w:rsidR="004E7BA2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by calculating the 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break-even transaction</w:t>
      </w:r>
      <w:r w:rsidR="004E7BA2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as follow:</w:t>
      </w:r>
    </w:p>
    <w:p w:rsidR="004E7BA2" w:rsidRPr="003515B8" w:rsidRDefault="004E7BA2" w:rsidP="00DD1FF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Let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Rlt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and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Rst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denote the returns on the long and short FDI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deciles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in month t. Let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TOlt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and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TOst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respectively denote the long- and short-side turnover in month t. </w:t>
      </w:r>
    </w:p>
    <w:p w:rsidR="00256E76" w:rsidRDefault="004E7BA2" w:rsidP="004E7BA2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The return after transaction cost will be: </w:t>
      </w:r>
    </w:p>
    <w:p w:rsidR="004E7BA2" w:rsidRPr="003515B8" w:rsidRDefault="004E7BA2" w:rsidP="004E7BA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8"/>
          <w:szCs w:val="28"/>
        </w:rPr>
        <w:t>[</w:t>
      </w:r>
      <w:proofErr w:type="spellStart"/>
      <w:r w:rsidRPr="003515B8">
        <w:rPr>
          <w:rFonts w:ascii="Times New Roman" w:hAnsi="Times New Roman" w:cs="Times New Roman"/>
          <w:b/>
          <w:kern w:val="0"/>
          <w:sz w:val="28"/>
          <w:szCs w:val="28"/>
        </w:rPr>
        <w:t>Rlt</w:t>
      </w:r>
      <w:proofErr w:type="spellEnd"/>
      <w:r w:rsidRPr="003515B8">
        <w:rPr>
          <w:rFonts w:ascii="Times New Roman" w:hAnsi="Times New Roman" w:cs="Times New Roman"/>
          <w:b/>
          <w:kern w:val="0"/>
          <w:sz w:val="28"/>
          <w:szCs w:val="28"/>
        </w:rPr>
        <w:t xml:space="preserve"> − </w:t>
      </w:r>
      <w:proofErr w:type="spellStart"/>
      <w:r w:rsidRPr="003515B8">
        <w:rPr>
          <w:rFonts w:ascii="Times New Roman" w:hAnsi="Times New Roman" w:cs="Times New Roman"/>
          <w:b/>
          <w:kern w:val="0"/>
          <w:sz w:val="28"/>
          <w:szCs w:val="28"/>
        </w:rPr>
        <w:t>TOlt</w:t>
      </w:r>
      <w:proofErr w:type="spellEnd"/>
      <w:r w:rsidRPr="003515B8">
        <w:rPr>
          <w:rFonts w:ascii="Times New Roman" w:hAnsi="Times New Roman" w:cs="Times New Roman"/>
          <w:b/>
          <w:kern w:val="0"/>
          <w:sz w:val="28"/>
          <w:szCs w:val="28"/>
        </w:rPr>
        <w:t xml:space="preserve"> × TC] − [</w:t>
      </w:r>
      <w:proofErr w:type="spellStart"/>
      <w:r w:rsidRPr="003515B8">
        <w:rPr>
          <w:rFonts w:ascii="Times New Roman" w:hAnsi="Times New Roman" w:cs="Times New Roman"/>
          <w:b/>
          <w:kern w:val="0"/>
          <w:sz w:val="28"/>
          <w:szCs w:val="28"/>
        </w:rPr>
        <w:t>Rst</w:t>
      </w:r>
      <w:proofErr w:type="spellEnd"/>
      <w:r w:rsidRPr="003515B8">
        <w:rPr>
          <w:rFonts w:ascii="Times New Roman" w:hAnsi="Times New Roman" w:cs="Times New Roman"/>
          <w:b/>
          <w:kern w:val="0"/>
          <w:sz w:val="28"/>
          <w:szCs w:val="28"/>
        </w:rPr>
        <w:t xml:space="preserve"> + </w:t>
      </w:r>
      <w:proofErr w:type="spellStart"/>
      <w:r w:rsidRPr="003515B8">
        <w:rPr>
          <w:rFonts w:ascii="Times New Roman" w:hAnsi="Times New Roman" w:cs="Times New Roman"/>
          <w:b/>
          <w:kern w:val="0"/>
          <w:sz w:val="28"/>
          <w:szCs w:val="28"/>
        </w:rPr>
        <w:t>TOst</w:t>
      </w:r>
      <w:proofErr w:type="spellEnd"/>
      <w:r w:rsidRPr="003515B8">
        <w:rPr>
          <w:rFonts w:ascii="Times New Roman" w:hAnsi="Times New Roman" w:cs="Times New Roman"/>
          <w:b/>
          <w:kern w:val="0"/>
          <w:sz w:val="28"/>
          <w:szCs w:val="28"/>
        </w:rPr>
        <w:t xml:space="preserve"> × TC]</w:t>
      </w:r>
    </w:p>
    <w:p w:rsidR="004E7BA2" w:rsidRPr="003515B8" w:rsidRDefault="004E7BA2" w:rsidP="004E7BA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We calculate the TC that yields an alpha of zero when the quantity is regressed on the relevant factors.</w:t>
      </w:r>
    </w:p>
    <w:p w:rsidR="00DD1FF8" w:rsidRPr="003515B8" w:rsidRDefault="00A91D82" w:rsidP="004E7BA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7BD53B30" wp14:editId="3E4C9A92">
            <wp:extent cx="5274310" cy="21539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82" w:rsidRPr="003515B8" w:rsidRDefault="005D39C3" w:rsidP="00DF04B7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The results show that break-even costs increase with the holding period because longer holding periods imply lower turnover and thus lower transaction costs.</w:t>
      </w:r>
    </w:p>
    <w:p w:rsidR="00D13A9F" w:rsidRPr="003515B8" w:rsidRDefault="00CF4E35" w:rsidP="00D13A9F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The </w:t>
      </w:r>
      <w:r w:rsidR="00DF04B7" w:rsidRPr="003515B8">
        <w:rPr>
          <w:rFonts w:ascii="Times New Roman" w:hAnsi="Times New Roman" w:cs="Times New Roman"/>
          <w:b/>
          <w:kern w:val="0"/>
          <w:sz w:val="24"/>
          <w:szCs w:val="24"/>
        </w:rPr>
        <w:t>break-even Transaction is far larger than the actual transaction costs estimated by former researches (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10 to 40 bps</w:t>
      </w:r>
      <w:r w:rsidR="00DF04B7" w:rsidRPr="003515B8">
        <w:rPr>
          <w:rFonts w:ascii="Times New Roman" w:hAnsi="Times New Roman" w:cs="Times New Roman"/>
          <w:b/>
          <w:kern w:val="0"/>
          <w:sz w:val="24"/>
          <w:szCs w:val="24"/>
        </w:rPr>
        <w:t>, 5.59 bps)</w:t>
      </w:r>
    </w:p>
    <w:p w:rsidR="00D13A9F" w:rsidRPr="003515B8" w:rsidRDefault="00D13A9F" w:rsidP="00D13A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13A9F" w:rsidRPr="003515B8" w:rsidRDefault="00D13A9F" w:rsidP="00D13A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13A9F" w:rsidRPr="003515B8" w:rsidRDefault="00D13A9F" w:rsidP="00D13A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13A9F" w:rsidRPr="003515B8" w:rsidRDefault="00D13A9F" w:rsidP="00D13A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13A9F" w:rsidRPr="003515B8" w:rsidRDefault="00D13A9F" w:rsidP="00D13A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13A9F" w:rsidRPr="003515B8" w:rsidRDefault="00D13A9F" w:rsidP="00D13A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13A9F" w:rsidRPr="003515B8" w:rsidRDefault="00D13A9F" w:rsidP="00D13A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13A9F" w:rsidRPr="003515B8" w:rsidRDefault="00D13A9F" w:rsidP="00D13A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13A9F" w:rsidRPr="003515B8" w:rsidRDefault="00D13A9F" w:rsidP="00D13A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13A9F" w:rsidRPr="003515B8" w:rsidRDefault="00D13A9F" w:rsidP="00D13A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13A9F" w:rsidRPr="003515B8" w:rsidRDefault="00D13A9F" w:rsidP="00D13A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13A9F" w:rsidRPr="003515B8" w:rsidRDefault="00D13A9F" w:rsidP="00D13A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13A9F" w:rsidRPr="003515B8" w:rsidRDefault="00D13A9F" w:rsidP="00D13A9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4F037D" w:rsidRPr="003515B8" w:rsidRDefault="004F037D" w:rsidP="003C2300"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lastRenderedPageBreak/>
        <w:t>Properties of FDI portfolios</w:t>
      </w:r>
    </w:p>
    <w:p w:rsidR="00D13A9F" w:rsidRPr="003515B8" w:rsidRDefault="00DE0753" w:rsidP="00DE075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We report the mean standard deviation based on the past 200 days of daily returns, intercept and loadings from regressing FDI-based portfolio returns on the five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Fama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and French (2015) factors and UMD</w:t>
      </w:r>
    </w:p>
    <w:p w:rsidR="004F037D" w:rsidRPr="003515B8" w:rsidRDefault="004634C6" w:rsidP="004F037D">
      <w:pPr>
        <w:rPr>
          <w:rFonts w:ascii="Times New Roman" w:hAnsi="Times New Roman" w:cs="Times New Roman"/>
          <w:b/>
        </w:rPr>
      </w:pPr>
      <w:r w:rsidRPr="003515B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2AFBA" wp14:editId="7CAC407E">
                <wp:simplePos x="0" y="0"/>
                <wp:positionH relativeFrom="column">
                  <wp:posOffset>3788229</wp:posOffset>
                </wp:positionH>
                <wp:positionV relativeFrom="paragraph">
                  <wp:posOffset>1615492</wp:posOffset>
                </wp:positionV>
                <wp:extent cx="793037" cy="340360"/>
                <wp:effectExtent l="0" t="0" r="26670" b="21590"/>
                <wp:wrapNone/>
                <wp:docPr id="20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037" cy="340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0" o:spid="_x0000_s1026" style="position:absolute;left:0;text-align:left;margin-left:298.3pt;margin-top:127.2pt;width:62.45pt;height:2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" filled="f" strokecolor="red" strokeweight="2pt"/>
            </w:pict>
          </mc:Fallback>
        </mc:AlternateContent>
      </w:r>
      <w:r w:rsidR="007A23A3" w:rsidRPr="003515B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331E60" wp14:editId="7F214BC5">
                <wp:simplePos x="0" y="0"/>
                <wp:positionH relativeFrom="column">
                  <wp:posOffset>4630718</wp:posOffset>
                </wp:positionH>
                <wp:positionV relativeFrom="paragraph">
                  <wp:posOffset>1616645</wp:posOffset>
                </wp:positionV>
                <wp:extent cx="508285" cy="340567"/>
                <wp:effectExtent l="0" t="0" r="25400" b="21590"/>
                <wp:wrapNone/>
                <wp:docPr id="21" name="圆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285" cy="3405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1" o:spid="_x0000_s1026" style="position:absolute;left:0;text-align:left;margin-left:364.6pt;margin-top:127.3pt;width:40pt;height:2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" filled="f" strokecolor="red" strokeweight="2pt"/>
            </w:pict>
          </mc:Fallback>
        </mc:AlternateContent>
      </w:r>
      <w:r w:rsidR="00DE0753" w:rsidRPr="003515B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64D15B" wp14:editId="25C07597">
                <wp:simplePos x="0" y="0"/>
                <wp:positionH relativeFrom="column">
                  <wp:posOffset>2346222</wp:posOffset>
                </wp:positionH>
                <wp:positionV relativeFrom="paragraph">
                  <wp:posOffset>1615440</wp:posOffset>
                </wp:positionV>
                <wp:extent cx="508285" cy="340567"/>
                <wp:effectExtent l="0" t="0" r="25400" b="21590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285" cy="3405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9" o:spid="_x0000_s1026" style="position:absolute;left:0;text-align:left;margin-left:184.75pt;margin-top:127.2pt;width:40pt;height:2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" filled="f" strokecolor="red" strokeweight="2pt"/>
            </w:pict>
          </mc:Fallback>
        </mc:AlternateContent>
      </w:r>
      <w:r w:rsidR="00D13A9F"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636BDA0D" wp14:editId="3B990767">
            <wp:extent cx="5271796" cy="2354844"/>
            <wp:effectExtent l="0" t="0" r="508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34170"/>
                    <a:stretch/>
                  </pic:blipFill>
                  <pic:spPr bwMode="auto">
                    <a:xfrm>
                      <a:off x="0" y="0"/>
                      <a:ext cx="5274310" cy="235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A6E" w:rsidRPr="003515B8" w:rsidRDefault="006A2852" w:rsidP="004F037D">
      <w:pPr>
        <w:rPr>
          <w:rFonts w:ascii="Times New Roman" w:hAnsi="Times New Roman" w:cs="Times New Roman"/>
          <w:b/>
        </w:rPr>
      </w:pPr>
      <w:r w:rsidRPr="003515B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BDDCB9" wp14:editId="26C98B09">
                <wp:simplePos x="0" y="0"/>
                <wp:positionH relativeFrom="column">
                  <wp:posOffset>4502020</wp:posOffset>
                </wp:positionH>
                <wp:positionV relativeFrom="paragraph">
                  <wp:posOffset>2816341</wp:posOffset>
                </wp:positionV>
                <wp:extent cx="508000" cy="209705"/>
                <wp:effectExtent l="0" t="0" r="25400" b="19050"/>
                <wp:wrapNone/>
                <wp:docPr id="23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097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3" o:spid="_x0000_s1026" style="position:absolute;left:0;text-align:left;margin-left:354.5pt;margin-top:221.75pt;width:40pt;height:1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" filled="f" strokecolor="red" strokeweight="2pt"/>
            </w:pict>
          </mc:Fallback>
        </mc:AlternateContent>
      </w:r>
      <w:r w:rsidR="004C7B1D" w:rsidRPr="003515B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E7AC6B" wp14:editId="7ECE37AB">
                <wp:simplePos x="0" y="0"/>
                <wp:positionH relativeFrom="column">
                  <wp:posOffset>1352939</wp:posOffset>
                </wp:positionH>
                <wp:positionV relativeFrom="paragraph">
                  <wp:posOffset>2816342</wp:posOffset>
                </wp:positionV>
                <wp:extent cx="2915816" cy="209731"/>
                <wp:effectExtent l="0" t="0" r="18415" b="19050"/>
                <wp:wrapNone/>
                <wp:docPr id="22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816" cy="20973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2" o:spid="_x0000_s1026" style="position:absolute;left:0;text-align:left;margin-left:106.55pt;margin-top:221.75pt;width:229.6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" filled="f" strokecolor="red" strokeweight="2pt"/>
            </w:pict>
          </mc:Fallback>
        </mc:AlternateContent>
      </w:r>
      <w:r w:rsidR="00693A6E"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483AA12B" wp14:editId="0C45C6D1">
            <wp:extent cx="5274310" cy="3107055"/>
            <wp:effectExtent l="0" t="0" r="2540" b="0"/>
            <wp:docPr id="18" name="图片 18" descr="C:\Users\Mei\AppData\Local\Temp\WeChat Files\a279678c738c937021bf0e7ec1c33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i\AppData\Local\Temp\WeChat Files\a279678c738c937021bf0e7ec1c336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53" w:rsidRPr="003515B8" w:rsidRDefault="008F398B" w:rsidP="006E01AC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Market</w:t>
      </w:r>
      <w:r w:rsidR="004634C6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, RMW, CMA, </w:t>
      </w:r>
      <w:proofErr w:type="gramStart"/>
      <w:r w:rsidR="004634C6" w:rsidRPr="003515B8">
        <w:rPr>
          <w:rFonts w:ascii="Times New Roman" w:hAnsi="Times New Roman" w:cs="Times New Roman"/>
          <w:b/>
          <w:kern w:val="0"/>
          <w:sz w:val="24"/>
          <w:szCs w:val="24"/>
        </w:rPr>
        <w:t>UMD</w:t>
      </w:r>
      <w:proofErr w:type="gram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loading is slightly larger for the FDI top versus the bottom portfolios, and the differences are significant.</w:t>
      </w:r>
    </w:p>
    <w:p w:rsidR="001641E7" w:rsidRPr="003515B8" w:rsidRDefault="004C7B1D" w:rsidP="006E01AC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Top-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Decile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return is not driven by small market capital stocks</w:t>
      </w:r>
      <w:r w:rsidR="006A2852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r w:rsidR="0058238E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(former research shows </w:t>
      </w:r>
      <w:r w:rsidR="00375CDF" w:rsidRPr="003515B8">
        <w:rPr>
          <w:rFonts w:ascii="Times New Roman" w:hAnsi="Times New Roman" w:cs="Times New Roman"/>
          <w:b/>
          <w:kern w:val="0"/>
          <w:sz w:val="24"/>
          <w:szCs w:val="24"/>
        </w:rPr>
        <w:t>past return effects</w:t>
      </w:r>
      <w:r w:rsidR="0058238E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is driven by less visible, smaller cap, more volatile, and more illiquid stocks)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.</w:t>
      </w:r>
    </w:p>
    <w:p w:rsidR="006A2852" w:rsidRPr="003515B8" w:rsidRDefault="006A2852" w:rsidP="006E01AC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The O-score for top FDI stocks</w:t>
      </w:r>
      <w:r w:rsidR="00B813AA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is not markedly different from 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that for others, suggesting that the FDI effect is not driven by credit risk.</w:t>
      </w:r>
    </w:p>
    <w:p w:rsidR="006E01AC" w:rsidRPr="003515B8" w:rsidRDefault="006E01AC" w:rsidP="006E01A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6E01AC" w:rsidRPr="003515B8" w:rsidRDefault="006E01AC" w:rsidP="006E01A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6E01AC" w:rsidRPr="003515B8" w:rsidRDefault="006E01AC" w:rsidP="006E01A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6E01AC" w:rsidRPr="003515B8" w:rsidRDefault="006E01AC" w:rsidP="003C2300"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lastRenderedPageBreak/>
        <w:t>Unique-component FDI</w:t>
      </w:r>
    </w:p>
    <w:p w:rsidR="006E01AC" w:rsidRPr="003515B8" w:rsidRDefault="006E01AC" w:rsidP="006E01A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UFDI is constructed similar to FDI except that it does not include deviations from accounting items of assets, earnings, inventories, income, revenue and capital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expendi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ture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, which are known in the literature to be associated with future stock returns.</w:t>
      </w:r>
    </w:p>
    <w:p w:rsidR="00923E0B" w:rsidRPr="003515B8" w:rsidRDefault="002C6367" w:rsidP="006E01A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6BE8EB62" wp14:editId="619AF5ED">
            <wp:extent cx="4152122" cy="4560603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6295"/>
                    <a:stretch/>
                  </pic:blipFill>
                  <pic:spPr bwMode="auto">
                    <a:xfrm>
                      <a:off x="0" y="0"/>
                      <a:ext cx="4152225" cy="4560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826" w:rsidRPr="003515B8" w:rsidRDefault="002C6367" w:rsidP="00A838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10D97186" wp14:editId="00E4CECA">
            <wp:extent cx="5187632" cy="277119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0106" cy="27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15" w:rsidRPr="003515B8" w:rsidRDefault="00A83826" w:rsidP="00A838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Overall, the evidence shows that deviation-based under-reaction to fundamentals is a broader phenomenon that is not confined only to deviations for variables which are previously known to be associated with future stock returns.</w:t>
      </w:r>
    </w:p>
    <w:p w:rsidR="00AA3D15" w:rsidRPr="003515B8" w:rsidRDefault="003C2300" w:rsidP="003C2300"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t>The Anchoring Rationale</w:t>
      </w:r>
    </w:p>
    <w:p w:rsidR="003C2300" w:rsidRPr="003515B8" w:rsidRDefault="009B3E28" w:rsidP="006B5A56">
      <w:pPr>
        <w:pStyle w:val="4"/>
        <w:numPr>
          <w:ilvl w:val="0"/>
          <w:numId w:val="2"/>
        </w:numPr>
        <w:rPr>
          <w:rFonts w:ascii="Times New Roman" w:hAnsi="Times New Roman" w:cs="Times New Roman"/>
          <w:kern w:val="0"/>
          <w:sz w:val="24"/>
          <w:szCs w:val="24"/>
        </w:rPr>
      </w:pPr>
      <w:r w:rsidRPr="003515B8">
        <w:rPr>
          <w:rFonts w:ascii="Times New Roman" w:hAnsi="Times New Roman" w:cs="Times New Roman"/>
        </w:rPr>
        <w:t>Why is FDI so robust in predicting future returns?</w:t>
      </w:r>
    </w:p>
    <w:p w:rsidR="009B3E28" w:rsidRPr="003515B8" w:rsidRDefault="009B3E28" w:rsidP="009B3E28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investors exhibit a continuing overreaction to public fundamental signals that deviate from the historical average </w:t>
      </w:r>
    </w:p>
    <w:p w:rsidR="009B3E28" w:rsidRPr="003515B8" w:rsidRDefault="009B3E28" w:rsidP="009B3E28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(×) no long-run reversals are observed</w:t>
      </w:r>
    </w:p>
    <w:p w:rsidR="00800D7B" w:rsidRPr="003515B8" w:rsidRDefault="00800D7B" w:rsidP="00800D7B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proofErr w:type="gram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cognitive</w:t>
      </w:r>
      <w:proofErr w:type="gram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dissonance (CD) </w:t>
      </w:r>
      <w:r w:rsidR="007F3046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. 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CD emerges when news contradicts investors’ sentiment, thereby slowing the diffusion of signals that oppose the direction of sentiment.</w:t>
      </w:r>
    </w:p>
    <w:p w:rsidR="00800D7B" w:rsidRPr="003515B8" w:rsidRDefault="007F3046" w:rsidP="00077D4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(×) FDI effect delivers statistically indistinguishable payoffs across high and </w:t>
      </w:r>
      <w:r w:rsidR="00077D4D" w:rsidRPr="003515B8">
        <w:rPr>
          <w:rFonts w:ascii="Times New Roman" w:hAnsi="Times New Roman" w:cs="Times New Roman"/>
          <w:b/>
          <w:kern w:val="0"/>
          <w:sz w:val="24"/>
          <w:szCs w:val="24"/>
        </w:rPr>
        <w:t>low sentiment states and results are not fully explainable via slow diffusion of news and frictions (table4).</w:t>
      </w:r>
    </w:p>
    <w:p w:rsidR="00241BD0" w:rsidRPr="003515B8" w:rsidRDefault="00241BD0" w:rsidP="00241BD0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proofErr w:type="gram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anchoring</w:t>
      </w:r>
      <w:proofErr w:type="gram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bias</w:t>
      </w:r>
      <w:r w:rsidR="00FD0BCC" w:rsidRPr="003515B8">
        <w:rPr>
          <w:rFonts w:ascii="Times New Roman" w:hAnsi="Times New Roman" w:cs="Times New Roman"/>
          <w:b/>
          <w:kern w:val="0"/>
          <w:sz w:val="24"/>
          <w:szCs w:val="24"/>
        </w:rPr>
        <w:t>: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(√)</w:t>
      </w:r>
    </w:p>
    <w:p w:rsidR="00241BD0" w:rsidRPr="003515B8" w:rsidRDefault="008C1404" w:rsidP="008C1404">
      <w:pPr>
        <w:pStyle w:val="4"/>
        <w:numPr>
          <w:ilvl w:val="0"/>
          <w:numId w:val="2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t>Reasonable</w:t>
      </w:r>
      <w:r w:rsidR="00C4292E" w:rsidRPr="003515B8">
        <w:rPr>
          <w:rFonts w:ascii="Times New Roman" w:hAnsi="Times New Roman" w:cs="Times New Roman"/>
        </w:rPr>
        <w:t xml:space="preserve"> anchors</w:t>
      </w:r>
    </w:p>
    <w:p w:rsidR="008C1404" w:rsidRPr="003515B8" w:rsidRDefault="001F1F67" w:rsidP="001F1F67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proofErr w:type="gram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market</w:t>
      </w:r>
      <w:proofErr w:type="gram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prices: past market performance, the 52-week high price, aggregate capital gains measured by a volume weighting of past returns…</w:t>
      </w:r>
    </w:p>
    <w:p w:rsidR="001F1F67" w:rsidRPr="003515B8" w:rsidRDefault="00FD0BCC" w:rsidP="001F1F67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fundamental analysts</w:t>
      </w:r>
    </w:p>
    <w:p w:rsidR="002759EF" w:rsidRPr="003515B8" w:rsidRDefault="002759EF" w:rsidP="002759E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2759EF" w:rsidRPr="003515B8" w:rsidRDefault="002759EF" w:rsidP="002759E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Investors anchor on historical rolling averages of fundamentals.</w:t>
      </w:r>
    </w:p>
    <w:p w:rsidR="00FD0BCC" w:rsidRPr="003515B8" w:rsidRDefault="002759EF" w:rsidP="002759E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This explanation </w:t>
      </w:r>
      <w:r w:rsidR="0026743C" w:rsidRPr="003515B8">
        <w:rPr>
          <w:rFonts w:ascii="Times New Roman" w:hAnsi="Times New Roman" w:cs="Times New Roman"/>
          <w:b/>
          <w:kern w:val="0"/>
          <w:sz w:val="24"/>
          <w:szCs w:val="24"/>
        </w:rPr>
        <w:t>i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mplies that investors process small amounts of information, 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lastRenderedPageBreak/>
        <w:t>which generate small deviations, better than large amounts of information that cause sudden large deviations from the anchor and, in turn, a significant price under</w:t>
      </w:r>
      <w:r w:rsidR="00FF7709" w:rsidRPr="003515B8">
        <w:rPr>
          <w:rFonts w:ascii="Times New Roman" w:hAnsi="Times New Roman" w:cs="Times New Roman"/>
          <w:b/>
          <w:kern w:val="0"/>
          <w:sz w:val="24"/>
          <w:szCs w:val="24"/>
        </w:rPr>
        <w:t>-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reaction.</w:t>
      </w:r>
    </w:p>
    <w:p w:rsidR="00FF7709" w:rsidRPr="003515B8" w:rsidRDefault="00FF7709" w:rsidP="002759E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537890" w:rsidRPr="003515B8" w:rsidRDefault="00537890" w:rsidP="005378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To verify this assertion, we repeat the FM regression analyses in Tables 2 with two additional explanatory variables represent the interaction of the deviation index with the level of suddenness: SUDDENUP and SUDDENDOWN.</w:t>
      </w:r>
    </w:p>
    <w:p w:rsidR="00800B98" w:rsidRPr="003515B8" w:rsidRDefault="00800B98" w:rsidP="005378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0F08E3" w:rsidRDefault="00830362" w:rsidP="00830362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For maximum positive monthly change in individual stocks’ FDI values in the last four quarters. </w:t>
      </w:r>
    </w:p>
    <w:p w:rsidR="000F08E3" w:rsidRDefault="000F08E3" w:rsidP="00830362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b/>
          <w:kern w:val="0"/>
          <w:sz w:val="24"/>
          <w:szCs w:val="24"/>
        </w:rPr>
      </w:pPr>
    </w:p>
    <w:p w:rsidR="000F08E3" w:rsidRDefault="00830362" w:rsidP="00830362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b/>
          <w:kern w:val="0"/>
          <w:sz w:val="24"/>
          <w:szCs w:val="24"/>
        </w:rPr>
      </w:pPr>
      <w:r w:rsidRPr="000F08E3">
        <w:rPr>
          <w:rFonts w:ascii="Times New Roman" w:hAnsi="Times New Roman" w:cs="Times New Roman"/>
          <w:b/>
          <w:kern w:val="0"/>
          <w:sz w:val="24"/>
          <w:szCs w:val="24"/>
          <w:highlight w:val="yellow"/>
        </w:rPr>
        <w:t>SUDDENUP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is equal to one if this level is above the top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decile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monthly median level and zero otherwise. </w:t>
      </w:r>
    </w:p>
    <w:p w:rsidR="000F08E3" w:rsidRDefault="000F08E3" w:rsidP="00830362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b/>
          <w:kern w:val="0"/>
          <w:sz w:val="24"/>
          <w:szCs w:val="24"/>
        </w:rPr>
      </w:pPr>
    </w:p>
    <w:p w:rsidR="00537890" w:rsidRPr="003515B8" w:rsidRDefault="00830362" w:rsidP="0083036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0F08E3">
        <w:rPr>
          <w:rFonts w:ascii="Times New Roman" w:hAnsi="Times New Roman" w:cs="Times New Roman"/>
          <w:b/>
          <w:kern w:val="0"/>
          <w:sz w:val="24"/>
          <w:szCs w:val="24"/>
          <w:highlight w:val="yellow"/>
        </w:rPr>
        <w:t>SUDDENDOWN</w:t>
      </w: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is calculated the same way but with minimum negative changes and bottom </w:t>
      </w:r>
      <w:proofErr w:type="spell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decile</w:t>
      </w:r>
      <w:proofErr w:type="spell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.</w:t>
      </w:r>
    </w:p>
    <w:p w:rsidR="00223F22" w:rsidRPr="003515B8" w:rsidRDefault="00375D29" w:rsidP="0083036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DDDC32" wp14:editId="2E554894">
                <wp:simplePos x="0" y="0"/>
                <wp:positionH relativeFrom="column">
                  <wp:posOffset>2677886</wp:posOffset>
                </wp:positionH>
                <wp:positionV relativeFrom="paragraph">
                  <wp:posOffset>569167</wp:posOffset>
                </wp:positionV>
                <wp:extent cx="508000" cy="298580"/>
                <wp:effectExtent l="0" t="0" r="25400" b="25400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985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7" o:spid="_x0000_s1026" style="position:absolute;left:0;text-align:left;margin-left:210.85pt;margin-top:44.8pt;width:40pt;height:2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" filled="f" strokecolor="red" strokeweight="2pt"/>
            </w:pict>
          </mc:Fallback>
        </mc:AlternateContent>
      </w:r>
      <w:r w:rsidR="005027A3"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18CE0F9D" wp14:editId="3439B634">
            <wp:extent cx="4110135" cy="938097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8964" cy="9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22" w:rsidRPr="003515B8" w:rsidRDefault="00375D29" w:rsidP="00671D24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This result is consistent with the notion that sudden changes in FDI result in stronger return predictability than gradual changes, consistent with the anchoring rationale</w:t>
      </w:r>
      <w:r w:rsidR="00920C05" w:rsidRPr="003515B8">
        <w:rPr>
          <w:rFonts w:ascii="Times New Roman" w:hAnsi="Times New Roman" w:cs="Times New Roman"/>
          <w:b/>
          <w:kern w:val="0"/>
          <w:sz w:val="24"/>
          <w:szCs w:val="24"/>
        </w:rPr>
        <w:t>.</w:t>
      </w:r>
    </w:p>
    <w:p w:rsidR="00223F22" w:rsidRPr="003515B8" w:rsidRDefault="00223F22" w:rsidP="0083036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347A5D" w:rsidRPr="000F08E3" w:rsidRDefault="00531505" w:rsidP="000F08E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proofErr w:type="gram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Same phenomena occurs</w:t>
      </w:r>
      <w:proofErr w:type="gram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in area besides fundamentals</w:t>
      </w:r>
      <w:r w:rsidR="000F08E3">
        <w:rPr>
          <w:rFonts w:ascii="Times New Roman" w:hAnsi="Times New Roman" w:cs="Times New Roman" w:hint="eastAsia"/>
          <w:b/>
          <w:kern w:val="0"/>
          <w:sz w:val="24"/>
          <w:szCs w:val="24"/>
        </w:rPr>
        <w:t xml:space="preserve">. </w:t>
      </w:r>
      <w:r w:rsidR="008D05FD" w:rsidRPr="000F08E3">
        <w:rPr>
          <w:rFonts w:ascii="Times New Roman" w:hAnsi="Times New Roman" w:cs="Times New Roman"/>
          <w:b/>
          <w:kern w:val="0"/>
          <w:sz w:val="24"/>
          <w:szCs w:val="24"/>
        </w:rPr>
        <w:t>An analogous effect exists also in deviations from analysts’ forecasts, which is in line wit</w:t>
      </w:r>
      <w:r w:rsidR="00347A5D" w:rsidRPr="000F08E3">
        <w:rPr>
          <w:rFonts w:ascii="Times New Roman" w:hAnsi="Times New Roman" w:cs="Times New Roman"/>
          <w:b/>
          <w:kern w:val="0"/>
          <w:sz w:val="24"/>
          <w:szCs w:val="24"/>
        </w:rPr>
        <w:t xml:space="preserve">h the hypothesis that different </w:t>
      </w:r>
      <w:r w:rsidR="008D05FD" w:rsidRPr="000F08E3">
        <w:rPr>
          <w:rFonts w:ascii="Times New Roman" w:hAnsi="Times New Roman" w:cs="Times New Roman"/>
          <w:b/>
          <w:kern w:val="0"/>
          <w:sz w:val="24"/>
          <w:szCs w:val="24"/>
        </w:rPr>
        <w:t>investors anchor on different types of information salient to stock valuation.</w:t>
      </w:r>
    </w:p>
    <w:p w:rsidR="007B04D8" w:rsidRPr="003515B8" w:rsidRDefault="00191A12" w:rsidP="00191A12">
      <w:pPr>
        <w:pStyle w:val="3"/>
        <w:numPr>
          <w:ilvl w:val="0"/>
          <w:numId w:val="2"/>
        </w:numPr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t>FDI-Based Factor</w:t>
      </w:r>
    </w:p>
    <w:p w:rsidR="00127E77" w:rsidRPr="003515B8" w:rsidRDefault="00191A12" w:rsidP="0036740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bookmarkStart w:id="0" w:name="_GoBack"/>
      <w:bookmarkEnd w:id="0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We first split all stocks into two groups by the median market capitalization of NYSE stocks. </w:t>
      </w:r>
      <w:r w:rsidR="003E3D46" w:rsidRPr="003515B8">
        <w:rPr>
          <w:rFonts w:ascii="Times New Roman" w:hAnsi="Times New Roman" w:cs="Times New Roman"/>
          <w:b/>
          <w:kern w:val="0"/>
          <w:sz w:val="24"/>
          <w:szCs w:val="24"/>
        </w:rPr>
        <w:t>We next consider two groups of stocks based on the deviation index. The first (second) group consists of stocks with an FDI above the 80th (bel</w:t>
      </w:r>
      <w:r w:rsidR="00367406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ow the 20th) </w:t>
      </w:r>
      <w:r w:rsidR="003E3D46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percentile of NYSE FDIs. </w:t>
      </w:r>
    </w:p>
    <w:p w:rsidR="003B6B42" w:rsidRPr="003515B8" w:rsidRDefault="00367406" w:rsidP="0036740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We then form a value-weighted portfolio that is long stocks with above-median market capitalization and in top FDI group, short stocks with above-median market capitalization and in bottom FDI group.</w:t>
      </w:r>
      <w:r w:rsidR="00127E77"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Another counterpart is formed in similar way but with below-median market capitalization.</w:t>
      </w:r>
    </w:p>
    <w:p w:rsidR="000547C3" w:rsidRPr="003515B8" w:rsidRDefault="000547C3" w:rsidP="000547C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The FDF factor is the average return of </w:t>
      </w:r>
      <w:proofErr w:type="gramStart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this</w:t>
      </w:r>
      <w:proofErr w:type="gramEnd"/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 xml:space="preserve"> two long-short portfolios.</w:t>
      </w:r>
    </w:p>
    <w:p w:rsidR="0047603C" w:rsidRPr="003515B8" w:rsidRDefault="0047603C" w:rsidP="000547C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B5542F" w:rsidRPr="003515B8" w:rsidRDefault="00B5542F" w:rsidP="000547C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B5542F" w:rsidRPr="003515B8" w:rsidRDefault="00B5542F" w:rsidP="000547C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B5542F" w:rsidRPr="003515B8" w:rsidRDefault="00B5542F" w:rsidP="00B5542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lastRenderedPageBreak/>
        <w:t>To assess the performance of the newly proposed factor, we run time-series regressions of FDF on comprehensive sets of factors.</w:t>
      </w:r>
    </w:p>
    <w:p w:rsidR="00265F1B" w:rsidRPr="003515B8" w:rsidRDefault="00E329F8" w:rsidP="00B5542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694EAF" wp14:editId="32FC4274">
                <wp:simplePos x="0" y="0"/>
                <wp:positionH relativeFrom="column">
                  <wp:posOffset>79310</wp:posOffset>
                </wp:positionH>
                <wp:positionV relativeFrom="paragraph">
                  <wp:posOffset>340877</wp:posOffset>
                </wp:positionV>
                <wp:extent cx="508000" cy="1558213"/>
                <wp:effectExtent l="0" t="0" r="25400" b="23495"/>
                <wp:wrapNone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15582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30" o:spid="_x0000_s1026" style="position:absolute;left:0;text-align:left;margin-left:6.25pt;margin-top:26.85pt;width:40pt;height:122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" filled="f" strokecolor="red" strokeweight="2pt"/>
            </w:pict>
          </mc:Fallback>
        </mc:AlternateContent>
      </w:r>
      <w:r w:rsidR="00C25B52"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128E1C6F" wp14:editId="70E57BF4">
            <wp:extent cx="5994852" cy="1824135"/>
            <wp:effectExtent l="0" t="0" r="635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43985"/>
                    <a:stretch/>
                  </pic:blipFill>
                  <pic:spPr bwMode="auto">
                    <a:xfrm>
                      <a:off x="0" y="0"/>
                      <a:ext cx="5997711" cy="182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B52" w:rsidRPr="003515B8" w:rsidRDefault="00873EEB" w:rsidP="00873EE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noProof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Then, we plot the five-year trailing averages of Sharpe ratios for UMD and FDF for our sample period (starting in 1991).</w:t>
      </w:r>
      <w:r w:rsidR="004F179A" w:rsidRPr="003515B8">
        <w:rPr>
          <w:rFonts w:ascii="Times New Roman" w:hAnsi="Times New Roman" w:cs="Times New Roman"/>
          <w:b/>
          <w:noProof/>
        </w:rPr>
        <w:t xml:space="preserve"> </w:t>
      </w:r>
      <w:r w:rsidR="004F179A" w:rsidRPr="003515B8">
        <w:rPr>
          <w:rFonts w:ascii="Times New Roman" w:hAnsi="Times New Roman" w:cs="Times New Roman"/>
          <w:b/>
          <w:noProof/>
        </w:rPr>
        <w:drawing>
          <wp:inline distT="0" distB="0" distL="0" distR="0" wp14:anchorId="2ED1313C" wp14:editId="2A5A8C5C">
            <wp:extent cx="5271796" cy="320354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3676"/>
                    <a:stretch/>
                  </pic:blipFill>
                  <pic:spPr bwMode="auto">
                    <a:xfrm>
                      <a:off x="0" y="0"/>
                      <a:ext cx="5274310" cy="320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F0D" w:rsidRPr="003515B8" w:rsidRDefault="00687F0D" w:rsidP="00873EEB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515B8">
        <w:rPr>
          <w:rFonts w:ascii="Times New Roman" w:hAnsi="Times New Roman" w:cs="Times New Roman"/>
          <w:b/>
          <w:kern w:val="0"/>
          <w:sz w:val="24"/>
          <w:szCs w:val="24"/>
        </w:rPr>
        <w:t>FDF retains a high Sharpe ratio in the most recent year relative to UMD.</w:t>
      </w:r>
    </w:p>
    <w:p w:rsidR="00671D24" w:rsidRPr="003515B8" w:rsidRDefault="00822E9F" w:rsidP="00671D24">
      <w:pPr>
        <w:pStyle w:val="2"/>
        <w:rPr>
          <w:rFonts w:ascii="Times New Roman" w:hAnsi="Times New Roman" w:cs="Times New Roman"/>
        </w:rPr>
      </w:pPr>
      <w:r w:rsidRPr="003515B8">
        <w:rPr>
          <w:rFonts w:ascii="Times New Roman" w:hAnsi="Times New Roman" w:cs="Times New Roman"/>
        </w:rPr>
        <w:t>Reflection</w:t>
      </w:r>
    </w:p>
    <w:p w:rsidR="00671D24" w:rsidRPr="003515B8" w:rsidRDefault="00DC0916" w:rsidP="00671D24">
      <w:pPr>
        <w:rPr>
          <w:rFonts w:ascii="Times New Roman" w:hAnsi="Times New Roman" w:cs="Times New Roman"/>
          <w:b/>
        </w:rPr>
      </w:pPr>
      <w:r w:rsidRPr="003515B8">
        <w:rPr>
          <w:rFonts w:ascii="Times New Roman" w:hAnsi="Times New Roman" w:cs="Times New Roman"/>
          <w:b/>
        </w:rPr>
        <w:t>疑问：文章行文逻辑不够流畅，</w:t>
      </w:r>
      <w:proofErr w:type="spellStart"/>
      <w:r w:rsidRPr="003515B8">
        <w:rPr>
          <w:rFonts w:ascii="Times New Roman" w:hAnsi="Times New Roman" w:cs="Times New Roman"/>
          <w:b/>
        </w:rPr>
        <w:t>suddenup</w:t>
      </w:r>
      <w:proofErr w:type="spellEnd"/>
      <w:r w:rsidRPr="003515B8">
        <w:rPr>
          <w:rFonts w:ascii="Times New Roman" w:hAnsi="Times New Roman" w:cs="Times New Roman"/>
          <w:b/>
        </w:rPr>
        <w:t>和</w:t>
      </w:r>
      <w:r w:rsidRPr="003515B8">
        <w:rPr>
          <w:rFonts w:ascii="Times New Roman" w:hAnsi="Times New Roman" w:cs="Times New Roman"/>
          <w:b/>
        </w:rPr>
        <w:t>down</w:t>
      </w:r>
      <w:r w:rsidRPr="003515B8">
        <w:rPr>
          <w:rFonts w:ascii="Times New Roman" w:hAnsi="Times New Roman" w:cs="Times New Roman"/>
          <w:b/>
        </w:rPr>
        <w:t>指标构建有点仓促</w:t>
      </w:r>
      <w:proofErr w:type="gramStart"/>
      <w:r w:rsidRPr="003515B8">
        <w:rPr>
          <w:rFonts w:ascii="Times New Roman" w:hAnsi="Times New Roman" w:cs="Times New Roman"/>
          <w:b/>
        </w:rPr>
        <w:t>且不够</w:t>
      </w:r>
      <w:proofErr w:type="gramEnd"/>
      <w:r w:rsidRPr="003515B8">
        <w:rPr>
          <w:rFonts w:ascii="Times New Roman" w:hAnsi="Times New Roman" w:cs="Times New Roman"/>
          <w:b/>
        </w:rPr>
        <w:t>有说服力</w:t>
      </w:r>
    </w:p>
    <w:p w:rsidR="00DC0916" w:rsidRPr="003515B8" w:rsidRDefault="00DC0916" w:rsidP="00671D24">
      <w:pPr>
        <w:rPr>
          <w:rFonts w:ascii="Times New Roman" w:hAnsi="Times New Roman" w:cs="Times New Roman"/>
          <w:b/>
        </w:rPr>
      </w:pPr>
      <w:r w:rsidRPr="003515B8">
        <w:rPr>
          <w:rFonts w:ascii="Times New Roman" w:hAnsi="Times New Roman" w:cs="Times New Roman"/>
          <w:b/>
        </w:rPr>
        <w:t>收获：</w:t>
      </w:r>
      <w:r w:rsidR="00A81AD6" w:rsidRPr="003515B8">
        <w:rPr>
          <w:rFonts w:ascii="Times New Roman" w:hAnsi="Times New Roman" w:cs="Times New Roman"/>
          <w:b/>
        </w:rPr>
        <w:t>文章中很多关于新因子提出的检验，有参考意义</w:t>
      </w:r>
    </w:p>
    <w:p w:rsidR="00A81AD6" w:rsidRPr="003515B8" w:rsidRDefault="00A81AD6" w:rsidP="00671D24">
      <w:pPr>
        <w:rPr>
          <w:rFonts w:ascii="Times New Roman" w:hAnsi="Times New Roman" w:cs="Times New Roman"/>
          <w:b/>
        </w:rPr>
      </w:pPr>
      <w:r w:rsidRPr="003515B8">
        <w:rPr>
          <w:rFonts w:ascii="Times New Roman" w:hAnsi="Times New Roman" w:cs="Times New Roman"/>
          <w:b/>
        </w:rPr>
        <w:t>延伸</w:t>
      </w:r>
      <w:r w:rsidR="000E37DD" w:rsidRPr="003515B8">
        <w:rPr>
          <w:rFonts w:ascii="Times New Roman" w:hAnsi="Times New Roman" w:cs="Times New Roman"/>
          <w:b/>
        </w:rPr>
        <w:t>与启发</w:t>
      </w:r>
      <w:r w:rsidRPr="003515B8">
        <w:rPr>
          <w:rFonts w:ascii="Times New Roman" w:hAnsi="Times New Roman" w:cs="Times New Roman"/>
          <w:b/>
        </w:rPr>
        <w:t>：</w:t>
      </w:r>
      <w:r w:rsidR="000E37DD" w:rsidRPr="003515B8">
        <w:rPr>
          <w:rFonts w:ascii="Times New Roman" w:hAnsi="Times New Roman" w:cs="Times New Roman"/>
          <w:b/>
        </w:rPr>
        <w:t>文章运用会计数据的偏移集成为一个因子，除了完全照搬中国市场外，可以考虑换机器学习方法进行聚合，还可以换聚合的数据类型</w:t>
      </w:r>
    </w:p>
    <w:p w:rsidR="00687F0D" w:rsidRPr="003515B8" w:rsidRDefault="00687F0D" w:rsidP="00873EE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sectPr w:rsidR="00687F0D" w:rsidRPr="003515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p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62E6C"/>
    <w:multiLevelType w:val="hybridMultilevel"/>
    <w:tmpl w:val="4C12A46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AA42CF9"/>
    <w:multiLevelType w:val="hybridMultilevel"/>
    <w:tmpl w:val="080AE57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DF91D62"/>
    <w:multiLevelType w:val="hybridMultilevel"/>
    <w:tmpl w:val="FB1E505A"/>
    <w:lvl w:ilvl="0" w:tplc="0409000D">
      <w:start w:val="1"/>
      <w:numFmt w:val="bullet"/>
      <w:lvlText w:val=""/>
      <w:lvlJc w:val="left"/>
      <w:pPr>
        <w:ind w:left="10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20"/>
      </w:pPr>
      <w:rPr>
        <w:rFonts w:ascii="Wingdings" w:hAnsi="Wingdings" w:hint="default"/>
      </w:rPr>
    </w:lvl>
  </w:abstractNum>
  <w:abstractNum w:abstractNumId="3">
    <w:nsid w:val="3EA638EB"/>
    <w:multiLevelType w:val="hybridMultilevel"/>
    <w:tmpl w:val="A8D09CCA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4B0A7157"/>
    <w:multiLevelType w:val="hybridMultilevel"/>
    <w:tmpl w:val="458A0B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F897D1F"/>
    <w:multiLevelType w:val="hybridMultilevel"/>
    <w:tmpl w:val="18028BF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5EF41221"/>
    <w:multiLevelType w:val="hybridMultilevel"/>
    <w:tmpl w:val="711CDBC6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628C611A"/>
    <w:multiLevelType w:val="hybridMultilevel"/>
    <w:tmpl w:val="C8EEE8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A477B8F"/>
    <w:multiLevelType w:val="hybridMultilevel"/>
    <w:tmpl w:val="E228C07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74C50338"/>
    <w:multiLevelType w:val="hybridMultilevel"/>
    <w:tmpl w:val="3D08C776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77A00DA0"/>
    <w:multiLevelType w:val="hybridMultilevel"/>
    <w:tmpl w:val="941ED1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10"/>
  </w:num>
  <w:num w:numId="6">
    <w:abstractNumId w:val="5"/>
  </w:num>
  <w:num w:numId="7">
    <w:abstractNumId w:val="0"/>
  </w:num>
  <w:num w:numId="8">
    <w:abstractNumId w:val="3"/>
  </w:num>
  <w:num w:numId="9">
    <w:abstractNumId w:val="8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CA4"/>
    <w:rsid w:val="0001325E"/>
    <w:rsid w:val="0001433A"/>
    <w:rsid w:val="00032519"/>
    <w:rsid w:val="000346E7"/>
    <w:rsid w:val="00040F39"/>
    <w:rsid w:val="000547C3"/>
    <w:rsid w:val="0005487A"/>
    <w:rsid w:val="00057E9C"/>
    <w:rsid w:val="00077D4D"/>
    <w:rsid w:val="000926DB"/>
    <w:rsid w:val="00093330"/>
    <w:rsid w:val="00096DC9"/>
    <w:rsid w:val="000974F0"/>
    <w:rsid w:val="000E37DD"/>
    <w:rsid w:val="000E48D9"/>
    <w:rsid w:val="000F08E3"/>
    <w:rsid w:val="000F6F64"/>
    <w:rsid w:val="000F7819"/>
    <w:rsid w:val="001028FA"/>
    <w:rsid w:val="00127BED"/>
    <w:rsid w:val="00127E77"/>
    <w:rsid w:val="00140745"/>
    <w:rsid w:val="001641E7"/>
    <w:rsid w:val="00171C55"/>
    <w:rsid w:val="00173C8C"/>
    <w:rsid w:val="0017461E"/>
    <w:rsid w:val="00191A12"/>
    <w:rsid w:val="001B129C"/>
    <w:rsid w:val="001B2638"/>
    <w:rsid w:val="001B2D4C"/>
    <w:rsid w:val="001B48B8"/>
    <w:rsid w:val="001C77D3"/>
    <w:rsid w:val="001F1F67"/>
    <w:rsid w:val="001F24B8"/>
    <w:rsid w:val="00200B99"/>
    <w:rsid w:val="00212586"/>
    <w:rsid w:val="00223F22"/>
    <w:rsid w:val="00241BD0"/>
    <w:rsid w:val="00241FA4"/>
    <w:rsid w:val="0025119B"/>
    <w:rsid w:val="00256E76"/>
    <w:rsid w:val="00265F1B"/>
    <w:rsid w:val="0026743C"/>
    <w:rsid w:val="002752BE"/>
    <w:rsid w:val="002759EF"/>
    <w:rsid w:val="0028438D"/>
    <w:rsid w:val="002B77EA"/>
    <w:rsid w:val="002C0892"/>
    <w:rsid w:val="002C6367"/>
    <w:rsid w:val="003426FC"/>
    <w:rsid w:val="00347A5D"/>
    <w:rsid w:val="003515B8"/>
    <w:rsid w:val="00354C58"/>
    <w:rsid w:val="00367406"/>
    <w:rsid w:val="00375CDF"/>
    <w:rsid w:val="00375D29"/>
    <w:rsid w:val="003A08A1"/>
    <w:rsid w:val="003A5E84"/>
    <w:rsid w:val="003B30C5"/>
    <w:rsid w:val="003B6B42"/>
    <w:rsid w:val="003C2300"/>
    <w:rsid w:val="003E1498"/>
    <w:rsid w:val="003E3D46"/>
    <w:rsid w:val="003F44A2"/>
    <w:rsid w:val="003F7C53"/>
    <w:rsid w:val="004004BE"/>
    <w:rsid w:val="00450750"/>
    <w:rsid w:val="004634C6"/>
    <w:rsid w:val="00465E57"/>
    <w:rsid w:val="0046736D"/>
    <w:rsid w:val="004741CB"/>
    <w:rsid w:val="0047603C"/>
    <w:rsid w:val="00490F61"/>
    <w:rsid w:val="0049476B"/>
    <w:rsid w:val="00495CE7"/>
    <w:rsid w:val="004B07B1"/>
    <w:rsid w:val="004B45FB"/>
    <w:rsid w:val="004B7DAD"/>
    <w:rsid w:val="004C5A69"/>
    <w:rsid w:val="004C7749"/>
    <w:rsid w:val="004C7B1D"/>
    <w:rsid w:val="004E6386"/>
    <w:rsid w:val="004E7BA2"/>
    <w:rsid w:val="004F037D"/>
    <w:rsid w:val="004F179A"/>
    <w:rsid w:val="005027A3"/>
    <w:rsid w:val="00502DD0"/>
    <w:rsid w:val="00516F61"/>
    <w:rsid w:val="00520937"/>
    <w:rsid w:val="0052318C"/>
    <w:rsid w:val="00531505"/>
    <w:rsid w:val="005333E2"/>
    <w:rsid w:val="00533ABB"/>
    <w:rsid w:val="0053692D"/>
    <w:rsid w:val="00537890"/>
    <w:rsid w:val="00550409"/>
    <w:rsid w:val="00567C5A"/>
    <w:rsid w:val="005737F3"/>
    <w:rsid w:val="00576A57"/>
    <w:rsid w:val="0058238E"/>
    <w:rsid w:val="00592000"/>
    <w:rsid w:val="005D39C3"/>
    <w:rsid w:val="005F542B"/>
    <w:rsid w:val="00601662"/>
    <w:rsid w:val="00635E91"/>
    <w:rsid w:val="00652B13"/>
    <w:rsid w:val="0066296E"/>
    <w:rsid w:val="00671D24"/>
    <w:rsid w:val="00687F0D"/>
    <w:rsid w:val="00692205"/>
    <w:rsid w:val="00692424"/>
    <w:rsid w:val="00693A6E"/>
    <w:rsid w:val="006A2852"/>
    <w:rsid w:val="006B5A56"/>
    <w:rsid w:val="006D795D"/>
    <w:rsid w:val="006E01AC"/>
    <w:rsid w:val="006E0710"/>
    <w:rsid w:val="006E674B"/>
    <w:rsid w:val="00761F00"/>
    <w:rsid w:val="00782DDC"/>
    <w:rsid w:val="007870F8"/>
    <w:rsid w:val="007920C7"/>
    <w:rsid w:val="007A23A3"/>
    <w:rsid w:val="007B04D8"/>
    <w:rsid w:val="007F3046"/>
    <w:rsid w:val="00800B98"/>
    <w:rsid w:val="00800D7B"/>
    <w:rsid w:val="00806658"/>
    <w:rsid w:val="00822E9F"/>
    <w:rsid w:val="00823858"/>
    <w:rsid w:val="00830362"/>
    <w:rsid w:val="0083097B"/>
    <w:rsid w:val="00834F30"/>
    <w:rsid w:val="00850511"/>
    <w:rsid w:val="008563D9"/>
    <w:rsid w:val="008612D2"/>
    <w:rsid w:val="00865A27"/>
    <w:rsid w:val="00871E37"/>
    <w:rsid w:val="00873EEB"/>
    <w:rsid w:val="00882C2D"/>
    <w:rsid w:val="00886664"/>
    <w:rsid w:val="00895DF6"/>
    <w:rsid w:val="008C1404"/>
    <w:rsid w:val="008D05FD"/>
    <w:rsid w:val="008F398B"/>
    <w:rsid w:val="008F3AAD"/>
    <w:rsid w:val="00920C05"/>
    <w:rsid w:val="00923E0B"/>
    <w:rsid w:val="00946BDC"/>
    <w:rsid w:val="009662EF"/>
    <w:rsid w:val="009B3E28"/>
    <w:rsid w:val="009B782C"/>
    <w:rsid w:val="009C175F"/>
    <w:rsid w:val="009E0C2F"/>
    <w:rsid w:val="009E78F2"/>
    <w:rsid w:val="00A010D7"/>
    <w:rsid w:val="00A0581C"/>
    <w:rsid w:val="00A257DB"/>
    <w:rsid w:val="00A550D8"/>
    <w:rsid w:val="00A575CE"/>
    <w:rsid w:val="00A81AD6"/>
    <w:rsid w:val="00A83826"/>
    <w:rsid w:val="00A91D82"/>
    <w:rsid w:val="00A96DB2"/>
    <w:rsid w:val="00AA3D15"/>
    <w:rsid w:val="00AD3137"/>
    <w:rsid w:val="00AF2CF0"/>
    <w:rsid w:val="00AF3010"/>
    <w:rsid w:val="00AF4505"/>
    <w:rsid w:val="00B0035B"/>
    <w:rsid w:val="00B055C1"/>
    <w:rsid w:val="00B11F2F"/>
    <w:rsid w:val="00B206C1"/>
    <w:rsid w:val="00B349A8"/>
    <w:rsid w:val="00B45C97"/>
    <w:rsid w:val="00B5542F"/>
    <w:rsid w:val="00B55A02"/>
    <w:rsid w:val="00B56541"/>
    <w:rsid w:val="00B813AA"/>
    <w:rsid w:val="00B81B6A"/>
    <w:rsid w:val="00B903F3"/>
    <w:rsid w:val="00BA0BF5"/>
    <w:rsid w:val="00BA406F"/>
    <w:rsid w:val="00BB2A88"/>
    <w:rsid w:val="00BC6631"/>
    <w:rsid w:val="00BD42DE"/>
    <w:rsid w:val="00BE33B1"/>
    <w:rsid w:val="00BE5816"/>
    <w:rsid w:val="00BF30FC"/>
    <w:rsid w:val="00BF7279"/>
    <w:rsid w:val="00C25B52"/>
    <w:rsid w:val="00C40E34"/>
    <w:rsid w:val="00C4292E"/>
    <w:rsid w:val="00C66293"/>
    <w:rsid w:val="00C7148D"/>
    <w:rsid w:val="00C8095F"/>
    <w:rsid w:val="00CA0F18"/>
    <w:rsid w:val="00CE721D"/>
    <w:rsid w:val="00CF31D0"/>
    <w:rsid w:val="00CF4E35"/>
    <w:rsid w:val="00D01CBF"/>
    <w:rsid w:val="00D0650C"/>
    <w:rsid w:val="00D0711A"/>
    <w:rsid w:val="00D10ACB"/>
    <w:rsid w:val="00D13A9F"/>
    <w:rsid w:val="00D1466C"/>
    <w:rsid w:val="00D24A12"/>
    <w:rsid w:val="00D25E9B"/>
    <w:rsid w:val="00D325EE"/>
    <w:rsid w:val="00D51632"/>
    <w:rsid w:val="00D57E64"/>
    <w:rsid w:val="00D61157"/>
    <w:rsid w:val="00D84B0C"/>
    <w:rsid w:val="00DB5A6E"/>
    <w:rsid w:val="00DC0916"/>
    <w:rsid w:val="00DD1FF8"/>
    <w:rsid w:val="00DE0753"/>
    <w:rsid w:val="00DE10A2"/>
    <w:rsid w:val="00DF04B7"/>
    <w:rsid w:val="00E16AE7"/>
    <w:rsid w:val="00E228D1"/>
    <w:rsid w:val="00E255C4"/>
    <w:rsid w:val="00E329F8"/>
    <w:rsid w:val="00E32CA4"/>
    <w:rsid w:val="00E42C6F"/>
    <w:rsid w:val="00E71C8A"/>
    <w:rsid w:val="00E776A2"/>
    <w:rsid w:val="00E8751A"/>
    <w:rsid w:val="00E951B4"/>
    <w:rsid w:val="00EA501A"/>
    <w:rsid w:val="00EB04FB"/>
    <w:rsid w:val="00EB22D9"/>
    <w:rsid w:val="00EB6C5F"/>
    <w:rsid w:val="00EC2C60"/>
    <w:rsid w:val="00ED3B3E"/>
    <w:rsid w:val="00EE2E85"/>
    <w:rsid w:val="00F759F7"/>
    <w:rsid w:val="00F8563A"/>
    <w:rsid w:val="00F86B2D"/>
    <w:rsid w:val="00F93CAC"/>
    <w:rsid w:val="00F9461F"/>
    <w:rsid w:val="00FA1C78"/>
    <w:rsid w:val="00FB7FBD"/>
    <w:rsid w:val="00FD0BCC"/>
    <w:rsid w:val="00FD4C43"/>
    <w:rsid w:val="00FE0DFA"/>
    <w:rsid w:val="00FF2ACF"/>
    <w:rsid w:val="00FF4C11"/>
    <w:rsid w:val="00FF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010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2D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D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809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010D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82D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82DD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8095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8095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E10A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E10A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010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2D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D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809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010D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82D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82DD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8095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8095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E10A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E10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61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diagramDrawing" Target="diagrams/drawing1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3DFFE7D-9F75-4D7A-957F-8411C57ED5D1}" type="doc">
      <dgm:prSet loTypeId="urn:microsoft.com/office/officeart/2005/8/layout/process4" loCatId="list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zh-CN" altLang="en-US"/>
        </a:p>
      </dgm:t>
    </dgm:pt>
    <dgm:pt modelId="{A0C5A6DE-B861-4161-829F-E4704359C939}">
      <dgm:prSet phldrT="[文本]"/>
      <dgm:spPr/>
      <dgm:t>
        <a:bodyPr/>
        <a:lstStyle/>
        <a:p>
          <a:r>
            <a:rPr lang="zh-CN" altLang="en-US"/>
            <a:t>构建</a:t>
          </a:r>
          <a:r>
            <a:rPr lang="zh-CN" altLang="en-US"/>
            <a:t>计算</a:t>
          </a:r>
          <a:r>
            <a:rPr lang="zh-CN" altLang="en-US"/>
            <a:t>因子值</a:t>
          </a:r>
        </a:p>
      </dgm:t>
    </dgm:pt>
    <dgm:pt modelId="{702B4943-A9DA-430E-A56D-156F980CD7AB}" type="parTrans" cxnId="{5F1391FD-9B2A-4D0D-BFE9-27CB88A78300}">
      <dgm:prSet/>
      <dgm:spPr/>
      <dgm:t>
        <a:bodyPr/>
        <a:lstStyle/>
        <a:p>
          <a:endParaRPr lang="zh-CN" altLang="en-US"/>
        </a:p>
      </dgm:t>
    </dgm:pt>
    <dgm:pt modelId="{56419874-6EA2-43FF-BE70-E43F94771DE4}" type="sibTrans" cxnId="{5F1391FD-9B2A-4D0D-BFE9-27CB88A78300}">
      <dgm:prSet/>
      <dgm:spPr/>
      <dgm:t>
        <a:bodyPr/>
        <a:lstStyle/>
        <a:p>
          <a:endParaRPr lang="zh-CN" altLang="en-US"/>
        </a:p>
      </dgm:t>
    </dgm:pt>
    <dgm:pt modelId="{8302D3B4-6596-4D7A-A76D-45CC9E7BEC52}">
      <dgm:prSet phldrT="[文本]"/>
      <dgm:spPr/>
      <dgm:t>
        <a:bodyPr/>
        <a:lstStyle/>
        <a:p>
          <a:r>
            <a:rPr lang="en-US" altLang="zh-CN"/>
            <a:t>FM</a:t>
          </a:r>
          <a:r>
            <a:rPr lang="zh-CN" altLang="en-US"/>
            <a:t>回归验证是否显著，是否能经过其他市场限制条件的检验</a:t>
          </a:r>
        </a:p>
      </dgm:t>
    </dgm:pt>
    <dgm:pt modelId="{AED98237-B034-494B-9CAE-FFC658028696}" type="parTrans" cxnId="{D6176541-DBA0-4FFC-AC4E-D5F19EFA1E27}">
      <dgm:prSet/>
      <dgm:spPr/>
      <dgm:t>
        <a:bodyPr/>
        <a:lstStyle/>
        <a:p>
          <a:endParaRPr lang="zh-CN" altLang="en-US"/>
        </a:p>
      </dgm:t>
    </dgm:pt>
    <dgm:pt modelId="{004100B5-E8A8-4E36-98CC-584713D6CD1D}" type="sibTrans" cxnId="{D6176541-DBA0-4FFC-AC4E-D5F19EFA1E27}">
      <dgm:prSet/>
      <dgm:spPr/>
      <dgm:t>
        <a:bodyPr/>
        <a:lstStyle/>
        <a:p>
          <a:endParaRPr lang="zh-CN" altLang="en-US"/>
        </a:p>
      </dgm:t>
    </dgm:pt>
    <dgm:pt modelId="{7B626487-FE5A-45C7-83D9-7AA519F17CF5}">
      <dgm:prSet phldrT="[文本]"/>
      <dgm:spPr/>
      <dgm:t>
        <a:bodyPr/>
        <a:lstStyle/>
        <a:p>
          <a:r>
            <a:rPr lang="zh-CN" altLang="en-US"/>
            <a:t>构建投资组合验证组合超额收益</a:t>
          </a:r>
        </a:p>
      </dgm:t>
    </dgm:pt>
    <dgm:pt modelId="{EC46D45D-6591-45E2-879C-13B916EBFEF2}" type="parTrans" cxnId="{C4017638-920C-47D9-A691-FDCA95AD938C}">
      <dgm:prSet/>
      <dgm:spPr/>
      <dgm:t>
        <a:bodyPr/>
        <a:lstStyle/>
        <a:p>
          <a:endParaRPr lang="zh-CN" altLang="en-US"/>
        </a:p>
      </dgm:t>
    </dgm:pt>
    <dgm:pt modelId="{1F314FEA-10F4-475F-B503-1FF50D9639DF}" type="sibTrans" cxnId="{C4017638-920C-47D9-A691-FDCA95AD938C}">
      <dgm:prSet/>
      <dgm:spPr/>
      <dgm:t>
        <a:bodyPr/>
        <a:lstStyle/>
        <a:p>
          <a:endParaRPr lang="zh-CN" altLang="en-US"/>
        </a:p>
      </dgm:t>
    </dgm:pt>
    <dgm:pt modelId="{E0CCD2E3-CD5B-4400-BCB1-ACEAF7D85424}">
      <dgm:prSet phldrT="[文本]"/>
      <dgm:spPr/>
      <dgm:t>
        <a:bodyPr/>
        <a:lstStyle/>
        <a:p>
          <a:r>
            <a:rPr lang="zh-CN" altLang="en-US"/>
            <a:t>验证不被其他因子所包含或解释</a:t>
          </a:r>
        </a:p>
      </dgm:t>
    </dgm:pt>
    <dgm:pt modelId="{870A2FBB-E0A3-4C1D-8741-EC80D59E4B81}" type="parTrans" cxnId="{52D6773D-EF24-4B5F-983F-1FF6B04CF1CB}">
      <dgm:prSet/>
      <dgm:spPr/>
      <dgm:t>
        <a:bodyPr/>
        <a:lstStyle/>
        <a:p>
          <a:endParaRPr lang="zh-CN" altLang="en-US"/>
        </a:p>
      </dgm:t>
    </dgm:pt>
    <dgm:pt modelId="{CB335159-4D21-4BE4-BDD3-77C557DF29EB}" type="sibTrans" cxnId="{52D6773D-EF24-4B5F-983F-1FF6B04CF1CB}">
      <dgm:prSet/>
      <dgm:spPr/>
      <dgm:t>
        <a:bodyPr/>
        <a:lstStyle/>
        <a:p>
          <a:endParaRPr lang="zh-CN" altLang="en-US"/>
        </a:p>
      </dgm:t>
    </dgm:pt>
    <dgm:pt modelId="{7D4B53CF-0603-492C-A6F7-9875FF246F23}">
      <dgm:prSet phldrT="[文本]"/>
      <dgm:spPr/>
      <dgm:t>
        <a:bodyPr/>
        <a:lstStyle/>
        <a:p>
          <a:r>
            <a:rPr lang="zh-CN" altLang="en-US"/>
            <a:t>与控制变量回归，排除小市值与交易摩擦驱动可能</a:t>
          </a:r>
        </a:p>
      </dgm:t>
    </dgm:pt>
    <dgm:pt modelId="{07ADF6BD-51A8-4BA1-82E2-EC191DC30045}" type="parTrans" cxnId="{78ECF381-B71B-4CDE-92F9-47CCA1824069}">
      <dgm:prSet/>
      <dgm:spPr/>
      <dgm:t>
        <a:bodyPr/>
        <a:lstStyle/>
        <a:p>
          <a:endParaRPr lang="zh-CN" altLang="en-US"/>
        </a:p>
      </dgm:t>
    </dgm:pt>
    <dgm:pt modelId="{7FDA129E-F207-4588-BD72-01EFA2224BEE}" type="sibTrans" cxnId="{78ECF381-B71B-4CDE-92F9-47CCA1824069}">
      <dgm:prSet/>
      <dgm:spPr/>
      <dgm:t>
        <a:bodyPr/>
        <a:lstStyle/>
        <a:p>
          <a:endParaRPr lang="zh-CN" altLang="en-US"/>
        </a:p>
      </dgm:t>
    </dgm:pt>
    <dgm:pt modelId="{0D36A694-F3F8-4A22-B83A-0556DEEFC933}">
      <dgm:prSet phldrT="[文本]"/>
      <dgm:spPr/>
      <dgm:t>
        <a:bodyPr/>
        <a:lstStyle/>
        <a:p>
          <a:r>
            <a:rPr lang="zh-CN" altLang="en-US"/>
            <a:t>排除已知有效会计因子变量后构建</a:t>
          </a:r>
          <a:r>
            <a:rPr lang="en-US" altLang="zh-CN"/>
            <a:t>UFDI</a:t>
          </a:r>
          <a:r>
            <a:rPr lang="zh-CN" altLang="en-US"/>
            <a:t>重新进行</a:t>
          </a:r>
          <a:r>
            <a:rPr lang="en-US" altLang="zh-CN"/>
            <a:t>FM</a:t>
          </a:r>
          <a:r>
            <a:rPr lang="zh-CN" altLang="en-US"/>
            <a:t>回归和构建投资组合验证因子有效性</a:t>
          </a:r>
        </a:p>
      </dgm:t>
    </dgm:pt>
    <dgm:pt modelId="{574E6982-93EA-4419-8F90-FE930F2DECDE}" type="parTrans" cxnId="{0C369E09-9261-4321-86BA-EF1393BBAF3C}">
      <dgm:prSet/>
      <dgm:spPr/>
      <dgm:t>
        <a:bodyPr/>
        <a:lstStyle/>
        <a:p>
          <a:endParaRPr lang="zh-CN" altLang="en-US"/>
        </a:p>
      </dgm:t>
    </dgm:pt>
    <dgm:pt modelId="{56C733B9-8CFE-4FE6-B9D7-E2BAE12EE01E}" type="sibTrans" cxnId="{0C369E09-9261-4321-86BA-EF1393BBAF3C}">
      <dgm:prSet/>
      <dgm:spPr/>
      <dgm:t>
        <a:bodyPr/>
        <a:lstStyle/>
        <a:p>
          <a:endParaRPr lang="zh-CN" altLang="en-US"/>
        </a:p>
      </dgm:t>
    </dgm:pt>
    <dgm:pt modelId="{962ED309-E082-477C-90B5-27EE71AA9D8C}">
      <dgm:prSet phldrT="[文本]"/>
      <dgm:spPr/>
      <dgm:t>
        <a:bodyPr/>
        <a:lstStyle/>
        <a:p>
          <a:r>
            <a:rPr lang="zh-CN" altLang="en-US"/>
            <a:t>解释因子的异象产生原理</a:t>
          </a:r>
        </a:p>
      </dgm:t>
    </dgm:pt>
    <dgm:pt modelId="{2DAE861B-3637-4F14-9AC8-878F3FB9D354}" type="parTrans" cxnId="{2ACC009B-32FC-4F4A-A6A0-2F4433BA58C5}">
      <dgm:prSet/>
      <dgm:spPr/>
      <dgm:t>
        <a:bodyPr/>
        <a:lstStyle/>
        <a:p>
          <a:endParaRPr lang="zh-CN" altLang="en-US"/>
        </a:p>
      </dgm:t>
    </dgm:pt>
    <dgm:pt modelId="{4C83FB9E-CD75-4E17-B0BD-D790C46EFA58}" type="sibTrans" cxnId="{2ACC009B-32FC-4F4A-A6A0-2F4433BA58C5}">
      <dgm:prSet/>
      <dgm:spPr/>
      <dgm:t>
        <a:bodyPr/>
        <a:lstStyle/>
        <a:p>
          <a:endParaRPr lang="zh-CN" altLang="en-US"/>
        </a:p>
      </dgm:t>
    </dgm:pt>
    <dgm:pt modelId="{C962EA24-68F6-4B74-8DB6-58931F469592}">
      <dgm:prSet phldrT="[文本]"/>
      <dgm:spPr/>
      <dgm:t>
        <a:bodyPr/>
        <a:lstStyle/>
        <a:p>
          <a:r>
            <a:rPr lang="zh-CN" altLang="en-US" b="1"/>
            <a:t>排除其他可能 得到</a:t>
          </a:r>
          <a:r>
            <a:rPr lang="en-US" b="1"/>
            <a:t>anchoring bias</a:t>
          </a:r>
          <a:r>
            <a:rPr lang="zh-CN" altLang="en-US" b="1"/>
            <a:t>的原因</a:t>
          </a:r>
          <a:r>
            <a:rPr lang="en-US" altLang="zh-CN"/>
            <a:t> </a:t>
          </a:r>
          <a:endParaRPr lang="zh-CN" altLang="en-US"/>
        </a:p>
      </dgm:t>
    </dgm:pt>
    <dgm:pt modelId="{4BB38BFF-AFED-43A8-9863-49E1707538CB}" type="parTrans" cxnId="{67FF1084-537C-4337-80B7-648E1892D2CC}">
      <dgm:prSet/>
      <dgm:spPr/>
      <dgm:t>
        <a:bodyPr/>
        <a:lstStyle/>
        <a:p>
          <a:endParaRPr lang="zh-CN" altLang="en-US"/>
        </a:p>
      </dgm:t>
    </dgm:pt>
    <dgm:pt modelId="{2779C65A-0C4D-4439-AE35-2F1521BCF9F6}" type="sibTrans" cxnId="{67FF1084-537C-4337-80B7-648E1892D2CC}">
      <dgm:prSet/>
      <dgm:spPr/>
      <dgm:t>
        <a:bodyPr/>
        <a:lstStyle/>
        <a:p>
          <a:endParaRPr lang="zh-CN" altLang="en-US"/>
        </a:p>
      </dgm:t>
    </dgm:pt>
    <dgm:pt modelId="{34E344D4-34E6-40A8-B5D4-E83467C524ED}">
      <dgm:prSet phldrT="[文本]"/>
      <dgm:spPr/>
      <dgm:t>
        <a:bodyPr/>
        <a:lstStyle/>
        <a:p>
          <a:r>
            <a:rPr lang="zh-CN" altLang="en-US"/>
            <a:t>进一步探究验证</a:t>
          </a:r>
          <a:r>
            <a:rPr lang="en-US" altLang="zh-CN"/>
            <a:t>anchor bias</a:t>
          </a:r>
          <a:r>
            <a:rPr lang="zh-CN" altLang="en-US"/>
            <a:t>带来的影响</a:t>
          </a:r>
        </a:p>
      </dgm:t>
    </dgm:pt>
    <dgm:pt modelId="{33F52965-C268-407E-B301-A11D1FA5EE31}" type="parTrans" cxnId="{114AB08C-AD62-48AE-8017-155D29608A77}">
      <dgm:prSet/>
      <dgm:spPr/>
      <dgm:t>
        <a:bodyPr/>
        <a:lstStyle/>
        <a:p>
          <a:endParaRPr lang="zh-CN" altLang="en-US"/>
        </a:p>
      </dgm:t>
    </dgm:pt>
    <dgm:pt modelId="{5A6ECFB5-E6B3-479E-A707-E6B6412DAD3C}" type="sibTrans" cxnId="{114AB08C-AD62-48AE-8017-155D29608A77}">
      <dgm:prSet/>
      <dgm:spPr/>
      <dgm:t>
        <a:bodyPr/>
        <a:lstStyle/>
        <a:p>
          <a:endParaRPr lang="zh-CN" altLang="en-US"/>
        </a:p>
      </dgm:t>
    </dgm:pt>
    <dgm:pt modelId="{213D1847-94B2-4513-9495-BBA3F9418D34}">
      <dgm:prSet/>
      <dgm:spPr/>
      <dgm:t>
        <a:bodyPr/>
        <a:lstStyle/>
        <a:p>
          <a:r>
            <a:rPr lang="zh-CN" altLang="en-US"/>
            <a:t>由因子</a:t>
          </a:r>
          <a:r>
            <a:rPr lang="en-US" altLang="zh-CN"/>
            <a:t>FDI</a:t>
          </a:r>
          <a:r>
            <a:rPr lang="zh-CN" altLang="en-US"/>
            <a:t>构建投资组合</a:t>
          </a:r>
          <a:r>
            <a:rPr lang="en-US" altLang="zh-CN"/>
            <a:t>FDF</a:t>
          </a:r>
          <a:endParaRPr lang="zh-CN" altLang="en-US"/>
        </a:p>
      </dgm:t>
    </dgm:pt>
    <dgm:pt modelId="{9D755BC3-83FF-43C8-AB14-988688452CAA}" type="parTrans" cxnId="{BAF2A614-646A-4642-978C-1F80DF720557}">
      <dgm:prSet/>
      <dgm:spPr/>
      <dgm:t>
        <a:bodyPr/>
        <a:lstStyle/>
        <a:p>
          <a:endParaRPr lang="zh-CN" altLang="en-US"/>
        </a:p>
      </dgm:t>
    </dgm:pt>
    <dgm:pt modelId="{570CFCA4-A1B3-4B87-A0A5-E2D6E41EF738}" type="sibTrans" cxnId="{BAF2A614-646A-4642-978C-1F80DF720557}">
      <dgm:prSet/>
      <dgm:spPr/>
      <dgm:t>
        <a:bodyPr/>
        <a:lstStyle/>
        <a:p>
          <a:endParaRPr lang="zh-CN" altLang="en-US"/>
        </a:p>
      </dgm:t>
    </dgm:pt>
    <dgm:pt modelId="{D9E3F4C0-3AE9-46D7-8A10-77701B2DA977}">
      <dgm:prSet/>
      <dgm:spPr/>
      <dgm:t>
        <a:bodyPr/>
        <a:lstStyle/>
        <a:p>
          <a:r>
            <a:rPr lang="zh-CN" altLang="en-US"/>
            <a:t>会计变量被模型选择情况</a:t>
          </a:r>
        </a:p>
      </dgm:t>
    </dgm:pt>
    <dgm:pt modelId="{C614D4BA-36C5-4E8F-9B1D-1B710EEC894F}" type="parTrans" cxnId="{DF0B8D48-13F1-4BB0-B62B-82BE0B33AF0F}">
      <dgm:prSet/>
      <dgm:spPr/>
      <dgm:t>
        <a:bodyPr/>
        <a:lstStyle/>
        <a:p>
          <a:endParaRPr lang="zh-CN" altLang="en-US"/>
        </a:p>
      </dgm:t>
    </dgm:pt>
    <dgm:pt modelId="{EA67C92B-4D62-4066-AE9F-C072840326F6}" type="sibTrans" cxnId="{DF0B8D48-13F1-4BB0-B62B-82BE0B33AF0F}">
      <dgm:prSet/>
      <dgm:spPr/>
      <dgm:t>
        <a:bodyPr/>
        <a:lstStyle/>
        <a:p>
          <a:endParaRPr lang="zh-CN" altLang="en-US"/>
        </a:p>
      </dgm:t>
    </dgm:pt>
    <dgm:pt modelId="{A38C5BE7-E0F7-4E6C-AC74-654E007772E1}" type="pres">
      <dgm:prSet presAssocID="{B3DFFE7D-9F75-4D7A-957F-8411C57ED5D1}" presName="Name0" presStyleCnt="0">
        <dgm:presLayoutVars>
          <dgm:dir/>
          <dgm:animLvl val="lvl"/>
          <dgm:resizeHandles val="exact"/>
        </dgm:presLayoutVars>
      </dgm:prSet>
      <dgm:spPr/>
    </dgm:pt>
    <dgm:pt modelId="{FAF366F1-BB1B-4A4E-BC82-F755FE9ABF1A}" type="pres">
      <dgm:prSet presAssocID="{213D1847-94B2-4513-9495-BBA3F9418D34}" presName="boxAndChildren" presStyleCnt="0"/>
      <dgm:spPr/>
    </dgm:pt>
    <dgm:pt modelId="{82C8D9B8-5A23-45F5-8A68-B965C6C8DC88}" type="pres">
      <dgm:prSet presAssocID="{213D1847-94B2-4513-9495-BBA3F9418D34}" presName="parentTextBox" presStyleLbl="node1" presStyleIdx="0" presStyleCnt="4"/>
      <dgm:spPr/>
      <dgm:t>
        <a:bodyPr/>
        <a:lstStyle/>
        <a:p>
          <a:endParaRPr lang="zh-CN" altLang="en-US"/>
        </a:p>
      </dgm:t>
    </dgm:pt>
    <dgm:pt modelId="{40A561CC-157E-4C86-9F7E-C6E850CB5F37}" type="pres">
      <dgm:prSet presAssocID="{4C83FB9E-CD75-4E17-B0BD-D790C46EFA58}" presName="sp" presStyleCnt="0"/>
      <dgm:spPr/>
    </dgm:pt>
    <dgm:pt modelId="{9C7DAD45-8CC0-44B7-AAFB-E6016B405BA1}" type="pres">
      <dgm:prSet presAssocID="{962ED309-E082-477C-90B5-27EE71AA9D8C}" presName="arrowAndChildren" presStyleCnt="0"/>
      <dgm:spPr/>
    </dgm:pt>
    <dgm:pt modelId="{138209F7-8034-471C-BEA9-E3C58A0DCCFB}" type="pres">
      <dgm:prSet presAssocID="{962ED309-E082-477C-90B5-27EE71AA9D8C}" presName="parentTextArrow" presStyleLbl="node1" presStyleIdx="0" presStyleCnt="4"/>
      <dgm:spPr/>
    </dgm:pt>
    <dgm:pt modelId="{D0F77961-B3CD-4262-A3E8-4C4E2A5BCC55}" type="pres">
      <dgm:prSet presAssocID="{962ED309-E082-477C-90B5-27EE71AA9D8C}" presName="arrow" presStyleLbl="node1" presStyleIdx="1" presStyleCnt="4"/>
      <dgm:spPr/>
    </dgm:pt>
    <dgm:pt modelId="{838F31C2-25AA-41CD-869C-F4A1B6EF1720}" type="pres">
      <dgm:prSet presAssocID="{962ED309-E082-477C-90B5-27EE71AA9D8C}" presName="descendantArrow" presStyleCnt="0"/>
      <dgm:spPr/>
    </dgm:pt>
    <dgm:pt modelId="{322950CE-EAAD-40A5-A1C3-B52E921148F0}" type="pres">
      <dgm:prSet presAssocID="{C962EA24-68F6-4B74-8DB6-58931F469592}" presName="childTextArrow" presStyleLbl="fgAccFollowNode1" presStyleIdx="0" presStyleCnt="7">
        <dgm:presLayoutVars>
          <dgm:bulletEnabled val="1"/>
        </dgm:presLayoutVars>
      </dgm:prSet>
      <dgm:spPr/>
    </dgm:pt>
    <dgm:pt modelId="{84E51075-A289-4B48-BAC9-59CD92452E4B}" type="pres">
      <dgm:prSet presAssocID="{34E344D4-34E6-40A8-B5D4-E83467C524ED}" presName="childTextArrow" presStyleLbl="fgAccFollowNode1" presStyleIdx="1" presStyleCnt="7">
        <dgm:presLayoutVars>
          <dgm:bulletEnabled val="1"/>
        </dgm:presLayoutVars>
      </dgm:prSet>
      <dgm:spPr/>
    </dgm:pt>
    <dgm:pt modelId="{894BC874-B7F6-4B2E-883F-4ADDE0E0110A}" type="pres">
      <dgm:prSet presAssocID="{CB335159-4D21-4BE4-BDD3-77C557DF29EB}" presName="sp" presStyleCnt="0"/>
      <dgm:spPr/>
    </dgm:pt>
    <dgm:pt modelId="{40F68915-562D-4AAB-831B-E55B951FA4A5}" type="pres">
      <dgm:prSet presAssocID="{E0CCD2E3-CD5B-4400-BCB1-ACEAF7D85424}" presName="arrowAndChildren" presStyleCnt="0"/>
      <dgm:spPr/>
    </dgm:pt>
    <dgm:pt modelId="{F8F7C298-EDAA-4124-A72A-F98F1824D6BE}" type="pres">
      <dgm:prSet presAssocID="{E0CCD2E3-CD5B-4400-BCB1-ACEAF7D85424}" presName="parentTextArrow" presStyleLbl="node1" presStyleIdx="1" presStyleCnt="4"/>
      <dgm:spPr/>
    </dgm:pt>
    <dgm:pt modelId="{BEA745E7-EB28-4862-BA44-DCEA0DE3802A}" type="pres">
      <dgm:prSet presAssocID="{E0CCD2E3-CD5B-4400-BCB1-ACEAF7D85424}" presName="arrow" presStyleLbl="node1" presStyleIdx="2" presStyleCnt="4"/>
      <dgm:spPr/>
    </dgm:pt>
    <dgm:pt modelId="{0D688C2B-B2E4-49D3-9B13-26CA4CC19403}" type="pres">
      <dgm:prSet presAssocID="{E0CCD2E3-CD5B-4400-BCB1-ACEAF7D85424}" presName="descendantArrow" presStyleCnt="0"/>
      <dgm:spPr/>
    </dgm:pt>
    <dgm:pt modelId="{5236DD5D-9871-4EF5-B178-BF265131B56C}" type="pres">
      <dgm:prSet presAssocID="{7D4B53CF-0603-492C-A6F7-9875FF246F23}" presName="childTextArrow" presStyleLbl="fgAccFollowNode1" presStyleIdx="2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5D32789-BD20-47FE-AE0C-4AED75708E78}" type="pres">
      <dgm:prSet presAssocID="{0D36A694-F3F8-4A22-B83A-0556DEEFC933}" presName="childTextArrow" presStyleLbl="fgAccFollowNode1" presStyleIdx="3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AB7802B-70AA-425E-83A0-F342B1D29222}" type="pres">
      <dgm:prSet presAssocID="{56419874-6EA2-43FF-BE70-E43F94771DE4}" presName="sp" presStyleCnt="0"/>
      <dgm:spPr/>
    </dgm:pt>
    <dgm:pt modelId="{3295D218-7A6B-402A-84E9-A632E0693B8B}" type="pres">
      <dgm:prSet presAssocID="{A0C5A6DE-B861-4161-829F-E4704359C939}" presName="arrowAndChildren" presStyleCnt="0"/>
      <dgm:spPr/>
    </dgm:pt>
    <dgm:pt modelId="{FFF37F68-3FA0-496B-A3DF-CC92E2264FC3}" type="pres">
      <dgm:prSet presAssocID="{A0C5A6DE-B861-4161-829F-E4704359C939}" presName="parentTextArrow" presStyleLbl="node1" presStyleIdx="2" presStyleCnt="4"/>
      <dgm:spPr/>
      <dgm:t>
        <a:bodyPr/>
        <a:lstStyle/>
        <a:p>
          <a:endParaRPr lang="zh-CN" altLang="en-US"/>
        </a:p>
      </dgm:t>
    </dgm:pt>
    <dgm:pt modelId="{00D06A4B-D4EB-40A1-B725-C2283D7FE84B}" type="pres">
      <dgm:prSet presAssocID="{A0C5A6DE-B861-4161-829F-E4704359C939}" presName="arrow" presStyleLbl="node1" presStyleIdx="3" presStyleCnt="4"/>
      <dgm:spPr/>
      <dgm:t>
        <a:bodyPr/>
        <a:lstStyle/>
        <a:p>
          <a:endParaRPr lang="zh-CN" altLang="en-US"/>
        </a:p>
      </dgm:t>
    </dgm:pt>
    <dgm:pt modelId="{B59CC5D2-9C86-4ECD-93D0-E8E08CF3B283}" type="pres">
      <dgm:prSet presAssocID="{A0C5A6DE-B861-4161-829F-E4704359C939}" presName="descendantArrow" presStyleCnt="0"/>
      <dgm:spPr/>
    </dgm:pt>
    <dgm:pt modelId="{207DAC0B-04E4-44FD-9B11-CF29BCBABAA3}" type="pres">
      <dgm:prSet presAssocID="{D9E3F4C0-3AE9-46D7-8A10-77701B2DA977}" presName="childTextArrow" presStyleLbl="fgAccFollowNode1" presStyleIdx="4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ACC7325-64ED-49BA-8814-D1AAC6B58593}" type="pres">
      <dgm:prSet presAssocID="{8302D3B4-6596-4D7A-A76D-45CC9E7BEC52}" presName="childTextArrow" presStyleLbl="fgAccFollowNode1" presStyleIdx="5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350E8C2-BC23-4844-B847-B4CA600B0372}" type="pres">
      <dgm:prSet presAssocID="{7B626487-FE5A-45C7-83D9-7AA519F17CF5}" presName="childTextArrow" presStyleLbl="fgAccFollowNode1" presStyleIdx="6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DF0B8D48-13F1-4BB0-B62B-82BE0B33AF0F}" srcId="{A0C5A6DE-B861-4161-829F-E4704359C939}" destId="{D9E3F4C0-3AE9-46D7-8A10-77701B2DA977}" srcOrd="0" destOrd="0" parTransId="{C614D4BA-36C5-4E8F-9B1D-1B710EEC894F}" sibTransId="{EA67C92B-4D62-4066-AE9F-C072840326F6}"/>
    <dgm:cxn modelId="{2ACC009B-32FC-4F4A-A6A0-2F4433BA58C5}" srcId="{B3DFFE7D-9F75-4D7A-957F-8411C57ED5D1}" destId="{962ED309-E082-477C-90B5-27EE71AA9D8C}" srcOrd="2" destOrd="0" parTransId="{2DAE861B-3637-4F14-9AC8-878F3FB9D354}" sibTransId="{4C83FB9E-CD75-4E17-B0BD-D790C46EFA58}"/>
    <dgm:cxn modelId="{A5001609-B545-492C-A2E9-AFE424AABADA}" type="presOf" srcId="{962ED309-E082-477C-90B5-27EE71AA9D8C}" destId="{138209F7-8034-471C-BEA9-E3C58A0DCCFB}" srcOrd="0" destOrd="0" presId="urn:microsoft.com/office/officeart/2005/8/layout/process4"/>
    <dgm:cxn modelId="{DE98D6CF-7E8C-4DEC-B371-1F5B1CC91ED0}" type="presOf" srcId="{A0C5A6DE-B861-4161-829F-E4704359C939}" destId="{00D06A4B-D4EB-40A1-B725-C2283D7FE84B}" srcOrd="1" destOrd="0" presId="urn:microsoft.com/office/officeart/2005/8/layout/process4"/>
    <dgm:cxn modelId="{D21E247D-27BD-42FD-86C7-FFA72FD28241}" type="presOf" srcId="{213D1847-94B2-4513-9495-BBA3F9418D34}" destId="{82C8D9B8-5A23-45F5-8A68-B965C6C8DC88}" srcOrd="0" destOrd="0" presId="urn:microsoft.com/office/officeart/2005/8/layout/process4"/>
    <dgm:cxn modelId="{C4017638-920C-47D9-A691-FDCA95AD938C}" srcId="{A0C5A6DE-B861-4161-829F-E4704359C939}" destId="{7B626487-FE5A-45C7-83D9-7AA519F17CF5}" srcOrd="2" destOrd="0" parTransId="{EC46D45D-6591-45E2-879C-13B916EBFEF2}" sibTransId="{1F314FEA-10F4-475F-B503-1FF50D9639DF}"/>
    <dgm:cxn modelId="{13192DFE-B682-4585-A5A5-A2C835F5A168}" type="presOf" srcId="{C962EA24-68F6-4B74-8DB6-58931F469592}" destId="{322950CE-EAAD-40A5-A1C3-B52E921148F0}" srcOrd="0" destOrd="0" presId="urn:microsoft.com/office/officeart/2005/8/layout/process4"/>
    <dgm:cxn modelId="{67FF1084-537C-4337-80B7-648E1892D2CC}" srcId="{962ED309-E082-477C-90B5-27EE71AA9D8C}" destId="{C962EA24-68F6-4B74-8DB6-58931F469592}" srcOrd="0" destOrd="0" parTransId="{4BB38BFF-AFED-43A8-9863-49E1707538CB}" sibTransId="{2779C65A-0C4D-4439-AE35-2F1521BCF9F6}"/>
    <dgm:cxn modelId="{EC3447B5-F341-4F17-BCE7-8BBB6856F3E2}" type="presOf" srcId="{7B626487-FE5A-45C7-83D9-7AA519F17CF5}" destId="{8350E8C2-BC23-4844-B847-B4CA600B0372}" srcOrd="0" destOrd="0" presId="urn:microsoft.com/office/officeart/2005/8/layout/process4"/>
    <dgm:cxn modelId="{780C27A9-3320-4D56-95CE-41CDF5BD9EC4}" type="presOf" srcId="{8302D3B4-6596-4D7A-A76D-45CC9E7BEC52}" destId="{1ACC7325-64ED-49BA-8814-D1AAC6B58593}" srcOrd="0" destOrd="0" presId="urn:microsoft.com/office/officeart/2005/8/layout/process4"/>
    <dgm:cxn modelId="{114AB08C-AD62-48AE-8017-155D29608A77}" srcId="{962ED309-E082-477C-90B5-27EE71AA9D8C}" destId="{34E344D4-34E6-40A8-B5D4-E83467C524ED}" srcOrd="1" destOrd="0" parTransId="{33F52965-C268-407E-B301-A11D1FA5EE31}" sibTransId="{5A6ECFB5-E6B3-479E-A707-E6B6412DAD3C}"/>
    <dgm:cxn modelId="{B20BA11A-39AC-4A0D-8E93-110948446695}" type="presOf" srcId="{0D36A694-F3F8-4A22-B83A-0556DEEFC933}" destId="{95D32789-BD20-47FE-AE0C-4AED75708E78}" srcOrd="0" destOrd="0" presId="urn:microsoft.com/office/officeart/2005/8/layout/process4"/>
    <dgm:cxn modelId="{5F1391FD-9B2A-4D0D-BFE9-27CB88A78300}" srcId="{B3DFFE7D-9F75-4D7A-957F-8411C57ED5D1}" destId="{A0C5A6DE-B861-4161-829F-E4704359C939}" srcOrd="0" destOrd="0" parTransId="{702B4943-A9DA-430E-A56D-156F980CD7AB}" sibTransId="{56419874-6EA2-43FF-BE70-E43F94771DE4}"/>
    <dgm:cxn modelId="{47EF7AC7-AFAE-4037-A6AA-59B3F1313F52}" type="presOf" srcId="{E0CCD2E3-CD5B-4400-BCB1-ACEAF7D85424}" destId="{BEA745E7-EB28-4862-BA44-DCEA0DE3802A}" srcOrd="1" destOrd="0" presId="urn:microsoft.com/office/officeart/2005/8/layout/process4"/>
    <dgm:cxn modelId="{7E96DDC1-6BF9-4B58-B465-FA2E610B7E9C}" type="presOf" srcId="{A0C5A6DE-B861-4161-829F-E4704359C939}" destId="{FFF37F68-3FA0-496B-A3DF-CC92E2264FC3}" srcOrd="0" destOrd="0" presId="urn:microsoft.com/office/officeart/2005/8/layout/process4"/>
    <dgm:cxn modelId="{A7CB5F16-3011-447E-BB4C-A3D1E47826D0}" type="presOf" srcId="{D9E3F4C0-3AE9-46D7-8A10-77701B2DA977}" destId="{207DAC0B-04E4-44FD-9B11-CF29BCBABAA3}" srcOrd="0" destOrd="0" presId="urn:microsoft.com/office/officeart/2005/8/layout/process4"/>
    <dgm:cxn modelId="{563ED30D-111D-4842-9474-4D63DCF6F235}" type="presOf" srcId="{B3DFFE7D-9F75-4D7A-957F-8411C57ED5D1}" destId="{A38C5BE7-E0F7-4E6C-AC74-654E007772E1}" srcOrd="0" destOrd="0" presId="urn:microsoft.com/office/officeart/2005/8/layout/process4"/>
    <dgm:cxn modelId="{D6176541-DBA0-4FFC-AC4E-D5F19EFA1E27}" srcId="{A0C5A6DE-B861-4161-829F-E4704359C939}" destId="{8302D3B4-6596-4D7A-A76D-45CC9E7BEC52}" srcOrd="1" destOrd="0" parTransId="{AED98237-B034-494B-9CAE-FFC658028696}" sibTransId="{004100B5-E8A8-4E36-98CC-584713D6CD1D}"/>
    <dgm:cxn modelId="{0C369E09-9261-4321-86BA-EF1393BBAF3C}" srcId="{E0CCD2E3-CD5B-4400-BCB1-ACEAF7D85424}" destId="{0D36A694-F3F8-4A22-B83A-0556DEEFC933}" srcOrd="1" destOrd="0" parTransId="{574E6982-93EA-4419-8F90-FE930F2DECDE}" sibTransId="{56C733B9-8CFE-4FE6-B9D7-E2BAE12EE01E}"/>
    <dgm:cxn modelId="{0E914EDD-0560-4B48-8C46-B91FD6B2BF99}" type="presOf" srcId="{962ED309-E082-477C-90B5-27EE71AA9D8C}" destId="{D0F77961-B3CD-4262-A3E8-4C4E2A5BCC55}" srcOrd="1" destOrd="0" presId="urn:microsoft.com/office/officeart/2005/8/layout/process4"/>
    <dgm:cxn modelId="{FB15EB31-90B4-4292-8B21-63D49913A326}" type="presOf" srcId="{7D4B53CF-0603-492C-A6F7-9875FF246F23}" destId="{5236DD5D-9871-4EF5-B178-BF265131B56C}" srcOrd="0" destOrd="0" presId="urn:microsoft.com/office/officeart/2005/8/layout/process4"/>
    <dgm:cxn modelId="{C8E94D95-3CD2-42BA-BF8F-D276EC4D0ED2}" type="presOf" srcId="{E0CCD2E3-CD5B-4400-BCB1-ACEAF7D85424}" destId="{F8F7C298-EDAA-4124-A72A-F98F1824D6BE}" srcOrd="0" destOrd="0" presId="urn:microsoft.com/office/officeart/2005/8/layout/process4"/>
    <dgm:cxn modelId="{52D6773D-EF24-4B5F-983F-1FF6B04CF1CB}" srcId="{B3DFFE7D-9F75-4D7A-957F-8411C57ED5D1}" destId="{E0CCD2E3-CD5B-4400-BCB1-ACEAF7D85424}" srcOrd="1" destOrd="0" parTransId="{870A2FBB-E0A3-4C1D-8741-EC80D59E4B81}" sibTransId="{CB335159-4D21-4BE4-BDD3-77C557DF29EB}"/>
    <dgm:cxn modelId="{78ECF381-B71B-4CDE-92F9-47CCA1824069}" srcId="{E0CCD2E3-CD5B-4400-BCB1-ACEAF7D85424}" destId="{7D4B53CF-0603-492C-A6F7-9875FF246F23}" srcOrd="0" destOrd="0" parTransId="{07ADF6BD-51A8-4BA1-82E2-EC191DC30045}" sibTransId="{7FDA129E-F207-4588-BD72-01EFA2224BEE}"/>
    <dgm:cxn modelId="{06A52CF6-C460-485E-AA13-EEFCAF0C24C7}" type="presOf" srcId="{34E344D4-34E6-40A8-B5D4-E83467C524ED}" destId="{84E51075-A289-4B48-BAC9-59CD92452E4B}" srcOrd="0" destOrd="0" presId="urn:microsoft.com/office/officeart/2005/8/layout/process4"/>
    <dgm:cxn modelId="{BAF2A614-646A-4642-978C-1F80DF720557}" srcId="{B3DFFE7D-9F75-4D7A-957F-8411C57ED5D1}" destId="{213D1847-94B2-4513-9495-BBA3F9418D34}" srcOrd="3" destOrd="0" parTransId="{9D755BC3-83FF-43C8-AB14-988688452CAA}" sibTransId="{570CFCA4-A1B3-4B87-A0A5-E2D6E41EF738}"/>
    <dgm:cxn modelId="{AA7CED41-B534-471C-A25B-77AB42C23069}" type="presParOf" srcId="{A38C5BE7-E0F7-4E6C-AC74-654E007772E1}" destId="{FAF366F1-BB1B-4A4E-BC82-F755FE9ABF1A}" srcOrd="0" destOrd="0" presId="urn:microsoft.com/office/officeart/2005/8/layout/process4"/>
    <dgm:cxn modelId="{B107AE5A-8A92-4C39-AC03-4352DB025ABC}" type="presParOf" srcId="{FAF366F1-BB1B-4A4E-BC82-F755FE9ABF1A}" destId="{82C8D9B8-5A23-45F5-8A68-B965C6C8DC88}" srcOrd="0" destOrd="0" presId="urn:microsoft.com/office/officeart/2005/8/layout/process4"/>
    <dgm:cxn modelId="{9A048FBD-014B-4917-B0F8-5F8C53C241AF}" type="presParOf" srcId="{A38C5BE7-E0F7-4E6C-AC74-654E007772E1}" destId="{40A561CC-157E-4C86-9F7E-C6E850CB5F37}" srcOrd="1" destOrd="0" presId="urn:microsoft.com/office/officeart/2005/8/layout/process4"/>
    <dgm:cxn modelId="{E49EBC62-95BE-4A25-8B97-7C48A2A8DA0C}" type="presParOf" srcId="{A38C5BE7-E0F7-4E6C-AC74-654E007772E1}" destId="{9C7DAD45-8CC0-44B7-AAFB-E6016B405BA1}" srcOrd="2" destOrd="0" presId="urn:microsoft.com/office/officeart/2005/8/layout/process4"/>
    <dgm:cxn modelId="{DC5A73F6-DFF0-4B41-AE31-DF328B3038F6}" type="presParOf" srcId="{9C7DAD45-8CC0-44B7-AAFB-E6016B405BA1}" destId="{138209F7-8034-471C-BEA9-E3C58A0DCCFB}" srcOrd="0" destOrd="0" presId="urn:microsoft.com/office/officeart/2005/8/layout/process4"/>
    <dgm:cxn modelId="{659A5108-EE33-44B9-8EC7-98D57B756302}" type="presParOf" srcId="{9C7DAD45-8CC0-44B7-AAFB-E6016B405BA1}" destId="{D0F77961-B3CD-4262-A3E8-4C4E2A5BCC55}" srcOrd="1" destOrd="0" presId="urn:microsoft.com/office/officeart/2005/8/layout/process4"/>
    <dgm:cxn modelId="{139C473F-731D-4F62-80C7-5A8D46281CD6}" type="presParOf" srcId="{9C7DAD45-8CC0-44B7-AAFB-E6016B405BA1}" destId="{838F31C2-25AA-41CD-869C-F4A1B6EF1720}" srcOrd="2" destOrd="0" presId="urn:microsoft.com/office/officeart/2005/8/layout/process4"/>
    <dgm:cxn modelId="{F6AB5AA2-0CBF-45C3-A0FD-31A7EA82A001}" type="presParOf" srcId="{838F31C2-25AA-41CD-869C-F4A1B6EF1720}" destId="{322950CE-EAAD-40A5-A1C3-B52E921148F0}" srcOrd="0" destOrd="0" presId="urn:microsoft.com/office/officeart/2005/8/layout/process4"/>
    <dgm:cxn modelId="{15694FDD-31C5-4DDE-B3AF-DCBF1DDB86CC}" type="presParOf" srcId="{838F31C2-25AA-41CD-869C-F4A1B6EF1720}" destId="{84E51075-A289-4B48-BAC9-59CD92452E4B}" srcOrd="1" destOrd="0" presId="urn:microsoft.com/office/officeart/2005/8/layout/process4"/>
    <dgm:cxn modelId="{E1A72B9B-E135-4476-BF07-E40FA1E16059}" type="presParOf" srcId="{A38C5BE7-E0F7-4E6C-AC74-654E007772E1}" destId="{894BC874-B7F6-4B2E-883F-4ADDE0E0110A}" srcOrd="3" destOrd="0" presId="urn:microsoft.com/office/officeart/2005/8/layout/process4"/>
    <dgm:cxn modelId="{CF1CD677-C2D4-43A4-B883-B8643E40F8EC}" type="presParOf" srcId="{A38C5BE7-E0F7-4E6C-AC74-654E007772E1}" destId="{40F68915-562D-4AAB-831B-E55B951FA4A5}" srcOrd="4" destOrd="0" presId="urn:microsoft.com/office/officeart/2005/8/layout/process4"/>
    <dgm:cxn modelId="{8333B98F-1361-4CD8-A5E9-2E051570E135}" type="presParOf" srcId="{40F68915-562D-4AAB-831B-E55B951FA4A5}" destId="{F8F7C298-EDAA-4124-A72A-F98F1824D6BE}" srcOrd="0" destOrd="0" presId="urn:microsoft.com/office/officeart/2005/8/layout/process4"/>
    <dgm:cxn modelId="{F0DAF615-984A-49EE-B757-3591E20D05D7}" type="presParOf" srcId="{40F68915-562D-4AAB-831B-E55B951FA4A5}" destId="{BEA745E7-EB28-4862-BA44-DCEA0DE3802A}" srcOrd="1" destOrd="0" presId="urn:microsoft.com/office/officeart/2005/8/layout/process4"/>
    <dgm:cxn modelId="{08DAEA1C-7EEA-488D-BC20-9CABD2DD514E}" type="presParOf" srcId="{40F68915-562D-4AAB-831B-E55B951FA4A5}" destId="{0D688C2B-B2E4-49D3-9B13-26CA4CC19403}" srcOrd="2" destOrd="0" presId="urn:microsoft.com/office/officeart/2005/8/layout/process4"/>
    <dgm:cxn modelId="{5034C33D-C0DC-4E17-B2CB-314DFFCD9CCD}" type="presParOf" srcId="{0D688C2B-B2E4-49D3-9B13-26CA4CC19403}" destId="{5236DD5D-9871-4EF5-B178-BF265131B56C}" srcOrd="0" destOrd="0" presId="urn:microsoft.com/office/officeart/2005/8/layout/process4"/>
    <dgm:cxn modelId="{797585FF-F799-43BE-AF52-935E52169FC1}" type="presParOf" srcId="{0D688C2B-B2E4-49D3-9B13-26CA4CC19403}" destId="{95D32789-BD20-47FE-AE0C-4AED75708E78}" srcOrd="1" destOrd="0" presId="urn:microsoft.com/office/officeart/2005/8/layout/process4"/>
    <dgm:cxn modelId="{EAF2500A-1FBF-4351-862A-D0DDFA0D7B16}" type="presParOf" srcId="{A38C5BE7-E0F7-4E6C-AC74-654E007772E1}" destId="{6AB7802B-70AA-425E-83A0-F342B1D29222}" srcOrd="5" destOrd="0" presId="urn:microsoft.com/office/officeart/2005/8/layout/process4"/>
    <dgm:cxn modelId="{8E12A095-F056-4BFB-B8AB-FDB64BE9FCF6}" type="presParOf" srcId="{A38C5BE7-E0F7-4E6C-AC74-654E007772E1}" destId="{3295D218-7A6B-402A-84E9-A632E0693B8B}" srcOrd="6" destOrd="0" presId="urn:microsoft.com/office/officeart/2005/8/layout/process4"/>
    <dgm:cxn modelId="{716D5033-BF4D-450D-BFFE-3B61E017F679}" type="presParOf" srcId="{3295D218-7A6B-402A-84E9-A632E0693B8B}" destId="{FFF37F68-3FA0-496B-A3DF-CC92E2264FC3}" srcOrd="0" destOrd="0" presId="urn:microsoft.com/office/officeart/2005/8/layout/process4"/>
    <dgm:cxn modelId="{91CAC14F-0ED7-4FAA-912B-6C9749CD442B}" type="presParOf" srcId="{3295D218-7A6B-402A-84E9-A632E0693B8B}" destId="{00D06A4B-D4EB-40A1-B725-C2283D7FE84B}" srcOrd="1" destOrd="0" presId="urn:microsoft.com/office/officeart/2005/8/layout/process4"/>
    <dgm:cxn modelId="{381ECDD2-55EF-4CED-8A9F-7C62C53D85D8}" type="presParOf" srcId="{3295D218-7A6B-402A-84E9-A632E0693B8B}" destId="{B59CC5D2-9C86-4ECD-93D0-E8E08CF3B283}" srcOrd="2" destOrd="0" presId="urn:microsoft.com/office/officeart/2005/8/layout/process4"/>
    <dgm:cxn modelId="{8E605025-3D1A-45FA-96ED-4063994EBD5F}" type="presParOf" srcId="{B59CC5D2-9C86-4ECD-93D0-E8E08CF3B283}" destId="{207DAC0B-04E4-44FD-9B11-CF29BCBABAA3}" srcOrd="0" destOrd="0" presId="urn:microsoft.com/office/officeart/2005/8/layout/process4"/>
    <dgm:cxn modelId="{CE2EA4A3-17E0-4B27-8C98-221F056159F3}" type="presParOf" srcId="{B59CC5D2-9C86-4ECD-93D0-E8E08CF3B283}" destId="{1ACC7325-64ED-49BA-8814-D1AAC6B58593}" srcOrd="1" destOrd="0" presId="urn:microsoft.com/office/officeart/2005/8/layout/process4"/>
    <dgm:cxn modelId="{560DFD87-AEC7-4AC8-9294-790B6140788D}" type="presParOf" srcId="{B59CC5D2-9C86-4ECD-93D0-E8E08CF3B283}" destId="{8350E8C2-BC23-4844-B847-B4CA600B0372}" srcOrd="2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2C8D9B8-5A23-45F5-8A68-B965C6C8DC88}">
      <dsp:nvSpPr>
        <dsp:cNvPr id="0" name=""/>
        <dsp:cNvSpPr/>
      </dsp:nvSpPr>
      <dsp:spPr>
        <a:xfrm>
          <a:off x="0" y="3055718"/>
          <a:ext cx="5531668" cy="66851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由因子</a:t>
          </a:r>
          <a:r>
            <a:rPr lang="en-US" altLang="zh-CN" sz="1200" kern="1200"/>
            <a:t>FDI</a:t>
          </a:r>
          <a:r>
            <a:rPr lang="zh-CN" altLang="en-US" sz="1200" kern="1200"/>
            <a:t>构建投资组合</a:t>
          </a:r>
          <a:r>
            <a:rPr lang="en-US" altLang="zh-CN" sz="1200" kern="1200"/>
            <a:t>FDF</a:t>
          </a:r>
          <a:endParaRPr lang="zh-CN" altLang="en-US" sz="1200" kern="1200"/>
        </a:p>
      </dsp:txBody>
      <dsp:txXfrm>
        <a:off x="0" y="3055718"/>
        <a:ext cx="5531668" cy="668516"/>
      </dsp:txXfrm>
    </dsp:sp>
    <dsp:sp modelId="{D0F77961-B3CD-4262-A3E8-4C4E2A5BCC55}">
      <dsp:nvSpPr>
        <dsp:cNvPr id="0" name=""/>
        <dsp:cNvSpPr/>
      </dsp:nvSpPr>
      <dsp:spPr>
        <a:xfrm rot="10800000">
          <a:off x="0" y="2037567"/>
          <a:ext cx="5531668" cy="1028178"/>
        </a:xfrm>
        <a:prstGeom prst="upArrowCallout">
          <a:avLst/>
        </a:prstGeom>
        <a:solidFill>
          <a:schemeClr val="accent5">
            <a:hueOff val="-3311292"/>
            <a:satOff val="13270"/>
            <a:lumOff val="287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解释因子的异象产生原理</a:t>
          </a:r>
        </a:p>
      </dsp:txBody>
      <dsp:txXfrm rot="-10800000">
        <a:off x="0" y="2037567"/>
        <a:ext cx="5531668" cy="360890"/>
      </dsp:txXfrm>
    </dsp:sp>
    <dsp:sp modelId="{322950CE-EAAD-40A5-A1C3-B52E921148F0}">
      <dsp:nvSpPr>
        <dsp:cNvPr id="0" name=""/>
        <dsp:cNvSpPr/>
      </dsp:nvSpPr>
      <dsp:spPr>
        <a:xfrm>
          <a:off x="0" y="2398458"/>
          <a:ext cx="2765834" cy="307425"/>
        </a:xfrm>
        <a:prstGeom prst="rect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b="1" kern="1200"/>
            <a:t>排除其他可能 得到</a:t>
          </a:r>
          <a:r>
            <a:rPr lang="en-US" sz="900" b="1" kern="1200"/>
            <a:t>anchoring bias</a:t>
          </a:r>
          <a:r>
            <a:rPr lang="zh-CN" altLang="en-US" sz="900" b="1" kern="1200"/>
            <a:t>的原因</a:t>
          </a:r>
          <a:r>
            <a:rPr lang="en-US" altLang="zh-CN" sz="900" kern="1200"/>
            <a:t> </a:t>
          </a:r>
          <a:endParaRPr lang="zh-CN" altLang="en-US" sz="900" kern="1200"/>
        </a:p>
      </dsp:txBody>
      <dsp:txXfrm>
        <a:off x="0" y="2398458"/>
        <a:ext cx="2765834" cy="307425"/>
      </dsp:txXfrm>
    </dsp:sp>
    <dsp:sp modelId="{84E51075-A289-4B48-BAC9-59CD92452E4B}">
      <dsp:nvSpPr>
        <dsp:cNvPr id="0" name=""/>
        <dsp:cNvSpPr/>
      </dsp:nvSpPr>
      <dsp:spPr>
        <a:xfrm>
          <a:off x="2765834" y="2398458"/>
          <a:ext cx="2765834" cy="307425"/>
        </a:xfrm>
        <a:prstGeom prst="rect">
          <a:avLst/>
        </a:prstGeom>
        <a:solidFill>
          <a:schemeClr val="accent5">
            <a:tint val="40000"/>
            <a:alpha val="90000"/>
            <a:hueOff val="-1790080"/>
            <a:satOff val="8042"/>
            <a:lumOff val="553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进一步探究验证</a:t>
          </a:r>
          <a:r>
            <a:rPr lang="en-US" altLang="zh-CN" sz="900" kern="1200"/>
            <a:t>anchor bias</a:t>
          </a:r>
          <a:r>
            <a:rPr lang="zh-CN" altLang="en-US" sz="900" kern="1200"/>
            <a:t>带来的影响</a:t>
          </a:r>
        </a:p>
      </dsp:txBody>
      <dsp:txXfrm>
        <a:off x="2765834" y="2398458"/>
        <a:ext cx="2765834" cy="307425"/>
      </dsp:txXfrm>
    </dsp:sp>
    <dsp:sp modelId="{BEA745E7-EB28-4862-BA44-DCEA0DE3802A}">
      <dsp:nvSpPr>
        <dsp:cNvPr id="0" name=""/>
        <dsp:cNvSpPr/>
      </dsp:nvSpPr>
      <dsp:spPr>
        <a:xfrm rot="10800000">
          <a:off x="0" y="1019417"/>
          <a:ext cx="5531668" cy="1028178"/>
        </a:xfrm>
        <a:prstGeom prst="upArrowCallout">
          <a:avLst/>
        </a:prstGeom>
        <a:solidFill>
          <a:schemeClr val="accent5">
            <a:hueOff val="-6622584"/>
            <a:satOff val="26541"/>
            <a:lumOff val="5752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验证不被其他因子所包含或解释</a:t>
          </a:r>
        </a:p>
      </dsp:txBody>
      <dsp:txXfrm rot="-10800000">
        <a:off x="0" y="1019417"/>
        <a:ext cx="5531668" cy="360890"/>
      </dsp:txXfrm>
    </dsp:sp>
    <dsp:sp modelId="{5236DD5D-9871-4EF5-B178-BF265131B56C}">
      <dsp:nvSpPr>
        <dsp:cNvPr id="0" name=""/>
        <dsp:cNvSpPr/>
      </dsp:nvSpPr>
      <dsp:spPr>
        <a:xfrm>
          <a:off x="0" y="1380307"/>
          <a:ext cx="2765834" cy="307425"/>
        </a:xfrm>
        <a:prstGeom prst="rect">
          <a:avLst/>
        </a:prstGeom>
        <a:solidFill>
          <a:schemeClr val="accent5">
            <a:tint val="40000"/>
            <a:alpha val="90000"/>
            <a:hueOff val="-3580161"/>
            <a:satOff val="16084"/>
            <a:lumOff val="1106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与控制变量回归，排除小市值与交易摩擦驱动可能</a:t>
          </a:r>
        </a:p>
      </dsp:txBody>
      <dsp:txXfrm>
        <a:off x="0" y="1380307"/>
        <a:ext cx="2765834" cy="307425"/>
      </dsp:txXfrm>
    </dsp:sp>
    <dsp:sp modelId="{95D32789-BD20-47FE-AE0C-4AED75708E78}">
      <dsp:nvSpPr>
        <dsp:cNvPr id="0" name=""/>
        <dsp:cNvSpPr/>
      </dsp:nvSpPr>
      <dsp:spPr>
        <a:xfrm>
          <a:off x="2765834" y="1380307"/>
          <a:ext cx="2765834" cy="307425"/>
        </a:xfrm>
        <a:prstGeom prst="rect">
          <a:avLst/>
        </a:prstGeom>
        <a:solidFill>
          <a:schemeClr val="accent5">
            <a:tint val="40000"/>
            <a:alpha val="90000"/>
            <a:hueOff val="-5370241"/>
            <a:satOff val="24126"/>
            <a:lumOff val="1658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排除已知有效会计因子变量后构建</a:t>
          </a:r>
          <a:r>
            <a:rPr lang="en-US" altLang="zh-CN" sz="900" kern="1200"/>
            <a:t>UFDI</a:t>
          </a:r>
          <a:r>
            <a:rPr lang="zh-CN" altLang="en-US" sz="900" kern="1200"/>
            <a:t>重新进行</a:t>
          </a:r>
          <a:r>
            <a:rPr lang="en-US" altLang="zh-CN" sz="900" kern="1200"/>
            <a:t>FM</a:t>
          </a:r>
          <a:r>
            <a:rPr lang="zh-CN" altLang="en-US" sz="900" kern="1200"/>
            <a:t>回归和构建投资组合验证因子有效性</a:t>
          </a:r>
        </a:p>
      </dsp:txBody>
      <dsp:txXfrm>
        <a:off x="2765834" y="1380307"/>
        <a:ext cx="2765834" cy="307425"/>
      </dsp:txXfrm>
    </dsp:sp>
    <dsp:sp modelId="{00D06A4B-D4EB-40A1-B725-C2283D7FE84B}">
      <dsp:nvSpPr>
        <dsp:cNvPr id="0" name=""/>
        <dsp:cNvSpPr/>
      </dsp:nvSpPr>
      <dsp:spPr>
        <a:xfrm rot="10800000">
          <a:off x="0" y="1266"/>
          <a:ext cx="5531668" cy="1028178"/>
        </a:xfrm>
        <a:prstGeom prst="upArrowCallout">
          <a:avLst/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构建</a:t>
          </a:r>
          <a:r>
            <a:rPr lang="zh-CN" altLang="en-US" sz="1200" kern="1200"/>
            <a:t>计算</a:t>
          </a:r>
          <a:r>
            <a:rPr lang="zh-CN" altLang="en-US" sz="1200" kern="1200"/>
            <a:t>因子值</a:t>
          </a:r>
        </a:p>
      </dsp:txBody>
      <dsp:txXfrm rot="-10800000">
        <a:off x="0" y="1266"/>
        <a:ext cx="5531668" cy="360890"/>
      </dsp:txXfrm>
    </dsp:sp>
    <dsp:sp modelId="{207DAC0B-04E4-44FD-9B11-CF29BCBABAA3}">
      <dsp:nvSpPr>
        <dsp:cNvPr id="0" name=""/>
        <dsp:cNvSpPr/>
      </dsp:nvSpPr>
      <dsp:spPr>
        <a:xfrm>
          <a:off x="2701" y="362157"/>
          <a:ext cx="1842088" cy="307425"/>
        </a:xfrm>
        <a:prstGeom prst="rect">
          <a:avLst/>
        </a:prstGeom>
        <a:solidFill>
          <a:schemeClr val="accent5">
            <a:tint val="40000"/>
            <a:alpha val="90000"/>
            <a:hueOff val="-7160321"/>
            <a:satOff val="32169"/>
            <a:lumOff val="2211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会计变量被模型选择情况</a:t>
          </a:r>
        </a:p>
      </dsp:txBody>
      <dsp:txXfrm>
        <a:off x="2701" y="362157"/>
        <a:ext cx="1842088" cy="307425"/>
      </dsp:txXfrm>
    </dsp:sp>
    <dsp:sp modelId="{1ACC7325-64ED-49BA-8814-D1AAC6B58593}">
      <dsp:nvSpPr>
        <dsp:cNvPr id="0" name=""/>
        <dsp:cNvSpPr/>
      </dsp:nvSpPr>
      <dsp:spPr>
        <a:xfrm>
          <a:off x="1844789" y="362157"/>
          <a:ext cx="1842088" cy="307425"/>
        </a:xfrm>
        <a:prstGeom prst="rect">
          <a:avLst/>
        </a:prstGeom>
        <a:solidFill>
          <a:schemeClr val="accent5">
            <a:tint val="40000"/>
            <a:alpha val="90000"/>
            <a:hueOff val="-8950401"/>
            <a:satOff val="40211"/>
            <a:lumOff val="2764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FM</a:t>
          </a:r>
          <a:r>
            <a:rPr lang="zh-CN" altLang="en-US" sz="900" kern="1200"/>
            <a:t>回归验证是否显著，是否能经过其他市场限制条件的检验</a:t>
          </a:r>
        </a:p>
      </dsp:txBody>
      <dsp:txXfrm>
        <a:off x="1844789" y="362157"/>
        <a:ext cx="1842088" cy="307425"/>
      </dsp:txXfrm>
    </dsp:sp>
    <dsp:sp modelId="{8350E8C2-BC23-4844-B847-B4CA600B0372}">
      <dsp:nvSpPr>
        <dsp:cNvPr id="0" name=""/>
        <dsp:cNvSpPr/>
      </dsp:nvSpPr>
      <dsp:spPr>
        <a:xfrm>
          <a:off x="3686878" y="362157"/>
          <a:ext cx="1842088" cy="307425"/>
        </a:xfrm>
        <a:prstGeom prst="rect">
          <a:avLst/>
        </a:prstGeom>
        <a:solidFill>
          <a:schemeClr val="accent5">
            <a:tint val="40000"/>
            <a:alpha val="90000"/>
            <a:hueOff val="-10740482"/>
            <a:satOff val="48253"/>
            <a:lumOff val="3317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构建投资组合验证组合超额收益</a:t>
          </a:r>
        </a:p>
      </dsp:txBody>
      <dsp:txXfrm>
        <a:off x="3686878" y="362157"/>
        <a:ext cx="1842088" cy="3074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69F4BC-0B68-414D-8DEE-EEC8729DA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12</Pages>
  <Words>1553</Words>
  <Characters>8858</Characters>
  <Application>Microsoft Office Word</Application>
  <DocSecurity>0</DocSecurity>
  <Lines>73</Lines>
  <Paragraphs>20</Paragraphs>
  <ScaleCrop>false</ScaleCrop>
  <Company/>
  <LinksUpToDate>false</LinksUpToDate>
  <CharactersWithSpaces>10391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</dc:creator>
  <cp:keywords/>
  <dc:description/>
  <cp:lastModifiedBy>Mei</cp:lastModifiedBy>
  <cp:revision>474</cp:revision>
  <dcterms:created xsi:type="dcterms:W3CDTF">2020-07-08T02:44:00Z</dcterms:created>
  <dcterms:modified xsi:type="dcterms:W3CDTF">2020-07-11T03:52:00Z</dcterms:modified>
</cp:coreProperties>
</file>