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D9145" w14:textId="2A5E6EC7" w:rsidR="00EB39D1" w:rsidRPr="00F75440" w:rsidRDefault="00932803" w:rsidP="00F75440">
      <w:pPr>
        <w:pStyle w:val="1"/>
      </w:pPr>
      <w:r w:rsidRPr="00F75440">
        <w:t>Variance risk in aggregate stock returns and time-varying return predictability</w:t>
      </w:r>
    </w:p>
    <w:p w14:paraId="03CC97B9" w14:textId="564267CD" w:rsidR="00932803" w:rsidRPr="00932803" w:rsidRDefault="00932803" w:rsidP="00A553EB">
      <w:pPr>
        <w:jc w:val="center"/>
      </w:pPr>
      <w:r w:rsidRPr="00932803">
        <w:t>2019_JFE_</w:t>
      </w:r>
      <w:r w:rsidRPr="00932803">
        <w:rPr>
          <w:rFonts w:hint="eastAsia"/>
        </w:rPr>
        <w:t>S</w:t>
      </w:r>
      <w:r w:rsidRPr="00932803">
        <w:t>ungjune Pyun</w:t>
      </w:r>
    </w:p>
    <w:p w14:paraId="497B8B18" w14:textId="67D18B00" w:rsidR="00932803" w:rsidRDefault="00932803" w:rsidP="00932803">
      <w:pPr>
        <w:pStyle w:val="2"/>
      </w:pPr>
      <w:r>
        <w:t>Introduction</w:t>
      </w:r>
    </w:p>
    <w:p w14:paraId="61A4E158" w14:textId="77777777" w:rsidR="00530491" w:rsidRDefault="00932803" w:rsidP="00530491">
      <w:pPr>
        <w:pStyle w:val="3"/>
        <w:ind w:left="660" w:right="240"/>
      </w:pPr>
      <w:r>
        <w:t>Background</w:t>
      </w:r>
    </w:p>
    <w:p w14:paraId="38715C1B" w14:textId="73525C97" w:rsidR="00EF494A" w:rsidRDefault="0006102C" w:rsidP="00E05115">
      <w:pPr>
        <w:pStyle w:val="a3"/>
        <w:numPr>
          <w:ilvl w:val="0"/>
          <w:numId w:val="12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17D781" wp14:editId="45564D77">
            <wp:simplePos x="0" y="0"/>
            <wp:positionH relativeFrom="margin">
              <wp:posOffset>781050</wp:posOffset>
            </wp:positionH>
            <wp:positionV relativeFrom="paragraph">
              <wp:posOffset>229870</wp:posOffset>
            </wp:positionV>
            <wp:extent cx="1551940" cy="27940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115">
        <w:t>Bollerslev et al.(2009) variance risk premium(VRP)</w:t>
      </w:r>
      <w:r w:rsidR="00193202">
        <w:t xml:space="preserve"> </w:t>
      </w:r>
    </w:p>
    <w:p w14:paraId="5351D006" w14:textId="79E482F1" w:rsidR="00E05115" w:rsidRPr="008F365A" w:rsidRDefault="00824902" w:rsidP="00E05115">
      <w:pPr>
        <w:pStyle w:val="a3"/>
        <w:ind w:left="1260" w:firstLineChars="0" w:firstLine="0"/>
        <w:rPr>
          <w:color w:val="FF0000"/>
        </w:rPr>
      </w:pPr>
      <w:r w:rsidRPr="008F365A">
        <w:rPr>
          <w:rFonts w:hint="eastAsia"/>
          <w:color w:val="FF0000"/>
        </w:rPr>
        <w:t>V</w:t>
      </w:r>
      <w:r w:rsidRPr="008F365A">
        <w:rPr>
          <w:color w:val="FF0000"/>
        </w:rPr>
        <w:t xml:space="preserve">RP = Option-implied variance – </w:t>
      </w:r>
      <w:r w:rsidR="00615927" w:rsidRPr="008F365A">
        <w:rPr>
          <w:rFonts w:hint="eastAsia"/>
          <w:color w:val="FF0000"/>
        </w:rPr>
        <w:t>Ex</w:t>
      </w:r>
      <w:r w:rsidR="00615927" w:rsidRPr="008F365A">
        <w:rPr>
          <w:color w:val="FF0000"/>
        </w:rPr>
        <w:t>pected r</w:t>
      </w:r>
      <w:r w:rsidRPr="008F365A">
        <w:rPr>
          <w:color w:val="FF0000"/>
        </w:rPr>
        <w:t>ealized variance</w:t>
      </w:r>
    </w:p>
    <w:p w14:paraId="63B8B845" w14:textId="77777777" w:rsidR="00830E88" w:rsidRDefault="00830E88" w:rsidP="00E05115">
      <w:pPr>
        <w:pStyle w:val="a3"/>
        <w:ind w:left="1260" w:firstLineChars="0" w:firstLine="0"/>
      </w:pPr>
      <w:r>
        <w:t xml:space="preserve">Option prices reflects expectations about future variance. The expectations are always higher than realized. The overpricing is VRP. </w:t>
      </w:r>
    </w:p>
    <w:p w14:paraId="1E0465B9" w14:textId="73A38881" w:rsidR="00A06016" w:rsidRDefault="00830E88" w:rsidP="00E05115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→</w:t>
      </w:r>
      <w:r w:rsidR="00A06016">
        <w:t xml:space="preserve">A proxy of </w:t>
      </w:r>
      <w:r w:rsidR="00193202">
        <w:rPr>
          <w:rFonts w:hint="eastAsia"/>
        </w:rPr>
        <w:t>p</w:t>
      </w:r>
      <w:r w:rsidR="00193202">
        <w:t>rice of variance risk</w:t>
      </w:r>
      <w:r w:rsidR="006D0811">
        <w:t xml:space="preserve">; </w:t>
      </w:r>
      <w:r w:rsidR="00A06016">
        <w:t>time-varying aggregate risk aversion</w:t>
      </w:r>
    </w:p>
    <w:p w14:paraId="5147FABF" w14:textId="109D0B35" w:rsidR="00E05115" w:rsidRPr="002823CB" w:rsidRDefault="00257512" w:rsidP="00257512">
      <w:pPr>
        <w:pStyle w:val="a3"/>
        <w:numPr>
          <w:ilvl w:val="0"/>
          <w:numId w:val="12"/>
        </w:numPr>
        <w:ind w:firstLineChars="0"/>
      </w:pPr>
      <w:r w:rsidRPr="002823CB">
        <w:t>Related literature</w:t>
      </w:r>
    </w:p>
    <w:p w14:paraId="64C1EE4A" w14:textId="67AEC6BB" w:rsidR="00257512" w:rsidRPr="002823CB" w:rsidRDefault="00257512" w:rsidP="00257512">
      <w:pPr>
        <w:pStyle w:val="a3"/>
        <w:numPr>
          <w:ilvl w:val="1"/>
          <w:numId w:val="12"/>
        </w:numPr>
        <w:ind w:firstLineChars="0"/>
      </w:pPr>
      <w:r w:rsidRPr="002823CB">
        <w:t>Time-varying return predictability: business cycle-dependent</w:t>
      </w:r>
      <w:r w:rsidR="007275F2" w:rsidRPr="002823CB">
        <w:t xml:space="preserve"> </w:t>
      </w:r>
      <w:r w:rsidRPr="002823CB">
        <w:rPr>
          <w:rFonts w:hint="eastAsia"/>
        </w:rPr>
        <w:t>→</w:t>
      </w:r>
      <w:r w:rsidR="007275F2" w:rsidRPr="002823CB">
        <w:rPr>
          <w:rFonts w:hint="eastAsia"/>
        </w:rPr>
        <w:t xml:space="preserve"> </w:t>
      </w:r>
      <w:r w:rsidRPr="002823CB">
        <w:t>Rapach (2010) predict at longer horizons. This paper predicts over shorter horizons</w:t>
      </w:r>
    </w:p>
    <w:p w14:paraId="50EF9079" w14:textId="370AD245" w:rsidR="00257512" w:rsidRPr="002823CB" w:rsidRDefault="007275F2" w:rsidP="00257512">
      <w:pPr>
        <w:pStyle w:val="a3"/>
        <w:numPr>
          <w:ilvl w:val="1"/>
          <w:numId w:val="12"/>
        </w:numPr>
        <w:ind w:firstLineChars="0"/>
      </w:pPr>
      <w:r w:rsidRPr="002823CB">
        <w:t>The role of the price of variance risk across various asset classes</w:t>
      </w:r>
      <w:r w:rsidR="008F365A">
        <w:t>(</w:t>
      </w:r>
      <w:r w:rsidR="008F365A" w:rsidRPr="008F365A">
        <w:t>Martin and Wagner</w:t>
      </w:r>
      <w:r w:rsidR="008F365A">
        <w:t xml:space="preserve">, </w:t>
      </w:r>
      <w:r w:rsidR="008F365A" w:rsidRPr="008F365A">
        <w:t>2016)</w:t>
      </w:r>
      <w:r w:rsidR="008F365A">
        <w:t xml:space="preserve"> </w:t>
      </w:r>
      <w:r w:rsidR="008F365A">
        <w:rPr>
          <w:rFonts w:hint="eastAsia"/>
        </w:rPr>
        <w:t>……</w:t>
      </w:r>
    </w:p>
    <w:p w14:paraId="35A185F6" w14:textId="29CC2962" w:rsidR="007275F2" w:rsidRPr="002823CB" w:rsidRDefault="007275F2" w:rsidP="007275F2">
      <w:pPr>
        <w:pStyle w:val="a3"/>
        <w:numPr>
          <w:ilvl w:val="1"/>
          <w:numId w:val="12"/>
        </w:numPr>
        <w:ind w:firstLineChars="0"/>
      </w:pPr>
      <w:r w:rsidRPr="002823CB">
        <w:t>Downside risk</w:t>
      </w:r>
      <w:r w:rsidR="008F365A">
        <w:t xml:space="preserve"> (</w:t>
      </w:r>
      <w:r w:rsidR="008F365A" w:rsidRPr="008F365A">
        <w:t>Kelly and Jiang</w:t>
      </w:r>
      <w:r w:rsidR="008F365A">
        <w:t xml:space="preserve">, </w:t>
      </w:r>
      <w:r w:rsidR="008F365A" w:rsidRPr="008F365A">
        <w:t>2014)</w:t>
      </w:r>
    </w:p>
    <w:p w14:paraId="2FDD1CF9" w14:textId="1E94A2DF" w:rsidR="00932803" w:rsidRDefault="00932803" w:rsidP="009D1165">
      <w:pPr>
        <w:pStyle w:val="3"/>
        <w:ind w:left="660" w:right="240"/>
      </w:pPr>
      <w:r>
        <w:t>Motivation</w:t>
      </w:r>
    </w:p>
    <w:p w14:paraId="1E43503F" w14:textId="77777777" w:rsidR="00D57132" w:rsidRDefault="00D57132" w:rsidP="00D57132">
      <w:pPr>
        <w:pStyle w:val="a3"/>
        <w:numPr>
          <w:ilvl w:val="0"/>
          <w:numId w:val="12"/>
        </w:numPr>
        <w:ind w:firstLineChars="0"/>
      </w:pPr>
      <w:r>
        <w:t>C</w:t>
      </w:r>
      <w:r w:rsidRPr="00530491">
        <w:t>hallenges</w:t>
      </w:r>
      <w:r>
        <w:t xml:space="preserve"> in risk premium prediction:</w:t>
      </w:r>
    </w:p>
    <w:p w14:paraId="176A4FF0" w14:textId="77777777" w:rsidR="00D57132" w:rsidRDefault="00D57132" w:rsidP="00D57132">
      <w:pPr>
        <w:pStyle w:val="a3"/>
        <w:numPr>
          <w:ilvl w:val="0"/>
          <w:numId w:val="13"/>
        </w:numPr>
        <w:ind w:firstLineChars="0"/>
      </w:pPr>
      <w:r>
        <w:t>Predictive relationships change over time</w:t>
      </w:r>
    </w:p>
    <w:p w14:paraId="648975DD" w14:textId="77777777" w:rsidR="00D57132" w:rsidRDefault="00D57132" w:rsidP="00D57132">
      <w:pPr>
        <w:pStyle w:val="a3"/>
        <w:numPr>
          <w:ilvl w:val="0"/>
          <w:numId w:val="13"/>
        </w:numPr>
        <w:ind w:firstLineChars="0"/>
      </w:pPr>
      <w:r>
        <w:t>Predictors that perform well in sample can fail out of sample</w:t>
      </w:r>
    </w:p>
    <w:p w14:paraId="087B8AA9" w14:textId="45F5AC55" w:rsidR="00D57132" w:rsidRDefault="00D57132" w:rsidP="00D57132">
      <w:pPr>
        <w:pStyle w:val="a3"/>
        <w:numPr>
          <w:ilvl w:val="0"/>
          <w:numId w:val="13"/>
        </w:numPr>
        <w:ind w:firstLineChars="0"/>
      </w:pPr>
      <w:r>
        <w:t>Predictions perform poorly at shorter horizons</w:t>
      </w:r>
    </w:p>
    <w:p w14:paraId="3073AAF7" w14:textId="77777777" w:rsidR="000E77D6" w:rsidRDefault="000E77D6" w:rsidP="000E77D6">
      <w:pPr>
        <w:pStyle w:val="a3"/>
        <w:numPr>
          <w:ilvl w:val="0"/>
          <w:numId w:val="12"/>
        </w:numPr>
        <w:ind w:firstLineChars="0"/>
      </w:pPr>
      <w:r>
        <w:t>Why VRP?</w:t>
      </w:r>
    </w:p>
    <w:p w14:paraId="6072A197" w14:textId="77777777" w:rsidR="000E77D6" w:rsidRDefault="000E77D6" w:rsidP="000E77D6">
      <w:pPr>
        <w:pStyle w:val="a3"/>
        <w:numPr>
          <w:ilvl w:val="1"/>
          <w:numId w:val="12"/>
        </w:numPr>
        <w:ind w:firstLineChars="0"/>
      </w:pPr>
      <w:r>
        <w:t>It’s actually a price of risk, rather than a variable that merely encodes information about risk prices in an unknown manner</w:t>
      </w:r>
    </w:p>
    <w:p w14:paraId="28AE1239" w14:textId="77777777" w:rsidR="000E77D6" w:rsidRDefault="000E77D6" w:rsidP="000E77D6">
      <w:pPr>
        <w:pStyle w:val="a3"/>
        <w:numPr>
          <w:ilvl w:val="1"/>
          <w:numId w:val="12"/>
        </w:numPr>
        <w:ind w:firstLineChars="0"/>
      </w:pPr>
      <w:r>
        <w:t>Variance innovations can be observed</w:t>
      </w:r>
    </w:p>
    <w:p w14:paraId="7CE11E41" w14:textId="15F637A3" w:rsidR="000E77D6" w:rsidRDefault="000E77D6" w:rsidP="000E77D6">
      <w:pPr>
        <w:pStyle w:val="a3"/>
        <w:numPr>
          <w:ilvl w:val="1"/>
          <w:numId w:val="12"/>
        </w:numPr>
        <w:ind w:firstLineChars="0"/>
      </w:pPr>
      <w:r>
        <w:t>Market has substantial exposure to variance risk</w:t>
      </w:r>
    </w:p>
    <w:p w14:paraId="21C121B0" w14:textId="77777777" w:rsidR="000E77D6" w:rsidRDefault="000E77D6" w:rsidP="000E77D6">
      <w:pPr>
        <w:pStyle w:val="a3"/>
        <w:ind w:left="1260" w:firstLineChars="0" w:firstLine="0"/>
        <w:rPr>
          <w:rFonts w:hint="eastAsia"/>
        </w:rPr>
      </w:pPr>
    </w:p>
    <w:p w14:paraId="4739059A" w14:textId="67F5719F" w:rsidR="0006102C" w:rsidRDefault="0006102C" w:rsidP="0006102C">
      <w:pPr>
        <w:pStyle w:val="a3"/>
        <w:numPr>
          <w:ilvl w:val="0"/>
          <w:numId w:val="12"/>
        </w:numPr>
        <w:ind w:firstLineChars="0"/>
      </w:pPr>
      <w:r>
        <w:t xml:space="preserve">Market risk premium should be related to the VRP by the market’s </w:t>
      </w:r>
      <w:r w:rsidRPr="002823CB">
        <w:rPr>
          <w:color w:val="FF0000"/>
        </w:rPr>
        <w:t>exposure to variance risk</w:t>
      </w:r>
      <w:r>
        <w:t>.</w:t>
      </w:r>
      <w:r w:rsidR="007C7B15">
        <w:t xml:space="preserve"> </w:t>
      </w:r>
      <w:r w:rsidR="007C7B15">
        <w:rPr>
          <w:rFonts w:hint="eastAsia"/>
        </w:rPr>
        <w:t>→</w:t>
      </w:r>
      <w:r w:rsidR="007C7B15">
        <w:rPr>
          <w:rFonts w:hint="eastAsia"/>
        </w:rPr>
        <w:t xml:space="preserve"> </w:t>
      </w:r>
      <w:r w:rsidR="007C7B15">
        <w:t>intuitively from beta representation</w:t>
      </w:r>
    </w:p>
    <w:p w14:paraId="6256F9E1" w14:textId="43AD11D9" w:rsidR="0006102C" w:rsidRDefault="0006102C" w:rsidP="0006102C">
      <w:pPr>
        <w:pStyle w:val="a3"/>
        <w:numPr>
          <w:ilvl w:val="0"/>
          <w:numId w:val="12"/>
        </w:numPr>
        <w:ind w:firstLineChars="0"/>
      </w:pPr>
      <w:r>
        <w:t>The return predictability of the VRP strongly depends on the size of “</w:t>
      </w:r>
      <w:r w:rsidRPr="002823CB">
        <w:rPr>
          <w:color w:val="FF0000"/>
        </w:rPr>
        <w:t>leverage effect</w:t>
      </w:r>
      <w:r>
        <w:t>”</w:t>
      </w:r>
      <w:r w:rsidR="00193202">
        <w:t xml:space="preserve">(the negative </w:t>
      </w:r>
      <w:r w:rsidR="00B47E71">
        <w:t xml:space="preserve">relationship between </w:t>
      </w:r>
      <w:r w:rsidR="00286B7B">
        <w:t>price</w:t>
      </w:r>
      <w:r w:rsidR="00B47E71">
        <w:t xml:space="preserve"> and variance innovation).</w:t>
      </w:r>
    </w:p>
    <w:p w14:paraId="568FB8F5" w14:textId="5333C497" w:rsidR="00B47E71" w:rsidRDefault="00B47E71" w:rsidP="0006102C">
      <w:pPr>
        <w:pStyle w:val="a3"/>
        <w:numPr>
          <w:ilvl w:val="0"/>
          <w:numId w:val="12"/>
        </w:numPr>
        <w:ind w:firstLineChars="0"/>
      </w:pPr>
      <w:r>
        <w:t xml:space="preserve">Time-varying </w:t>
      </w:r>
      <w:r w:rsidR="00E92987">
        <w:t>prediction</w:t>
      </w:r>
      <w:r>
        <w:t xml:space="preserve"> can be solved by estimat</w:t>
      </w:r>
      <w:r w:rsidR="00E92987">
        <w:t>ing the</w:t>
      </w:r>
      <w:r>
        <w:t xml:space="preserve"> </w:t>
      </w:r>
      <w:r w:rsidR="00E92987">
        <w:t xml:space="preserve">risk exposure </w:t>
      </w:r>
      <w:r>
        <w:t>contemporaneous</w:t>
      </w:r>
      <w:r w:rsidR="00E92987">
        <w:t xml:space="preserve">ly </w:t>
      </w:r>
      <w:r w:rsidR="002823CB">
        <w:t xml:space="preserve">using </w:t>
      </w:r>
      <w:r w:rsidR="002823CB" w:rsidRPr="00286B7B">
        <w:rPr>
          <w:color w:val="FF0000"/>
        </w:rPr>
        <w:t>high frequency data</w:t>
      </w:r>
      <w:r w:rsidR="00E92987">
        <w:t xml:space="preserve">. </w:t>
      </w:r>
    </w:p>
    <w:p w14:paraId="7A3A87D6" w14:textId="37F7B2A1" w:rsidR="00932803" w:rsidRDefault="00932803" w:rsidP="009D1165">
      <w:pPr>
        <w:pStyle w:val="3"/>
        <w:ind w:left="660" w:right="240"/>
      </w:pPr>
      <w:r>
        <w:t>Research Problem</w:t>
      </w:r>
    </w:p>
    <w:p w14:paraId="348CAD8B" w14:textId="33B71E31" w:rsidR="00E92987" w:rsidRDefault="00C25742" w:rsidP="00E92987">
      <w:pPr>
        <w:pStyle w:val="a3"/>
        <w:numPr>
          <w:ilvl w:val="0"/>
          <w:numId w:val="17"/>
        </w:numPr>
        <w:ind w:firstLineChars="0"/>
      </w:pPr>
      <w:r>
        <w:t>Whether this new approach can predict monthly market return precisely?</w:t>
      </w:r>
    </w:p>
    <w:p w14:paraId="130E18D7" w14:textId="61929243" w:rsidR="00C25742" w:rsidRPr="00E92987" w:rsidRDefault="00045114" w:rsidP="00E92987">
      <w:pPr>
        <w:pStyle w:val="a3"/>
        <w:numPr>
          <w:ilvl w:val="0"/>
          <w:numId w:val="17"/>
        </w:numPr>
        <w:ind w:firstLineChars="0"/>
      </w:pPr>
      <w:r>
        <w:t xml:space="preserve">How does the predictability vary over time? </w:t>
      </w:r>
    </w:p>
    <w:p w14:paraId="4ECEAED8" w14:textId="04E6050A" w:rsidR="00232C48" w:rsidRDefault="00932803" w:rsidP="00232C48">
      <w:pPr>
        <w:pStyle w:val="3"/>
        <w:ind w:left="660" w:right="240"/>
      </w:pPr>
      <w:r>
        <w:t>Contribution</w:t>
      </w:r>
    </w:p>
    <w:p w14:paraId="075C0935" w14:textId="4F020BC6" w:rsidR="00232C48" w:rsidRDefault="00232C48" w:rsidP="00232C48">
      <w:pPr>
        <w:pStyle w:val="a3"/>
        <w:numPr>
          <w:ilvl w:val="0"/>
          <w:numId w:val="19"/>
        </w:numPr>
        <w:ind w:firstLineChars="0"/>
      </w:pPr>
      <w:r>
        <w:t>Propose a better approach for monthly market return prediction</w:t>
      </w:r>
    </w:p>
    <w:p w14:paraId="1C8A994D" w14:textId="3BDF4E48" w:rsidR="00286B7B" w:rsidRPr="00232C48" w:rsidRDefault="00286B7B" w:rsidP="00232C48">
      <w:pPr>
        <w:pStyle w:val="a3"/>
        <w:numPr>
          <w:ilvl w:val="0"/>
          <w:numId w:val="19"/>
        </w:numPr>
        <w:ind w:firstLineChars="0"/>
      </w:pPr>
      <w:r>
        <w:lastRenderedPageBreak/>
        <w:t>Investigate the relationship between return predictability &amp; leverage effect</w:t>
      </w:r>
    </w:p>
    <w:p w14:paraId="5CB9C6DF" w14:textId="1F19F04A" w:rsidR="00932803" w:rsidRDefault="00932803" w:rsidP="00932803">
      <w:pPr>
        <w:pStyle w:val="2"/>
      </w:pPr>
      <w:r>
        <w:rPr>
          <w:rFonts w:hint="eastAsia"/>
        </w:rPr>
        <w:t>R</w:t>
      </w:r>
      <w:r>
        <w:t>esearch Design</w:t>
      </w:r>
    </w:p>
    <w:p w14:paraId="05FBEA3B" w14:textId="0649F836" w:rsidR="002934AD" w:rsidRPr="008D2518" w:rsidRDefault="002934AD" w:rsidP="00E77F84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8D2518">
        <w:rPr>
          <w:b/>
          <w:bCs/>
        </w:rPr>
        <w:t>Model construction:</w:t>
      </w:r>
    </w:p>
    <w:p w14:paraId="69A83ED0" w14:textId="0683340A" w:rsidR="005C128D" w:rsidRDefault="002934AD" w:rsidP="002934AD">
      <w:pPr>
        <w:ind w:left="840" w:firstLine="420"/>
      </w:pPr>
      <w:r>
        <w:rPr>
          <w:noProof/>
        </w:rPr>
        <w:drawing>
          <wp:inline distT="0" distB="0" distL="0" distR="0" wp14:anchorId="6760BBBD" wp14:editId="43D9AEFB">
            <wp:extent cx="2440744" cy="68908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577" cy="71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169" w14:textId="54129949" w:rsidR="00D57132" w:rsidRDefault="00D57132" w:rsidP="002934AD">
      <w:pPr>
        <w:ind w:left="840" w:firstLine="420"/>
      </w:pPr>
      <w:r w:rsidRPr="00D57132">
        <w:t>correlation (</w:t>
      </w:r>
      <w:r w:rsidRPr="00D57132">
        <w:rPr>
          <w:i/>
          <w:iCs/>
        </w:rPr>
        <w:t>ρ</w:t>
      </w:r>
      <w:r w:rsidRPr="00D57132">
        <w:rPr>
          <w:i/>
          <w:iCs/>
          <w:vertAlign w:val="subscript"/>
        </w:rPr>
        <w:t>t</w:t>
      </w:r>
      <w:r w:rsidRPr="00D57132">
        <w:t>) between market</w:t>
      </w:r>
      <w:r>
        <w:t xml:space="preserve"> </w:t>
      </w:r>
      <w:r w:rsidRPr="00D57132">
        <w:t>returns and changes in market variance is assumed to</w:t>
      </w:r>
      <w:r>
        <w:t xml:space="preserve"> </w:t>
      </w:r>
      <w:r w:rsidRPr="00D57132">
        <w:t>be time-varying.</w:t>
      </w:r>
    </w:p>
    <w:p w14:paraId="21594DEF" w14:textId="13F2EE2F" w:rsidR="002934AD" w:rsidRDefault="005C128D" w:rsidP="002934AD">
      <w:pPr>
        <w:ind w:left="840" w:firstLine="420"/>
      </w:pPr>
      <w:r>
        <w:rPr>
          <w:rFonts w:hint="eastAsia"/>
        </w:rPr>
        <w:t>→</w:t>
      </w:r>
      <w:r>
        <w:t xml:space="preserve"> </w:t>
      </w:r>
      <w:r>
        <w:rPr>
          <w:noProof/>
        </w:rPr>
        <w:drawing>
          <wp:inline distT="0" distB="0" distL="0" distR="0" wp14:anchorId="3FE9D24E" wp14:editId="537BC4C1">
            <wp:extent cx="3045655" cy="36374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138" cy="4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37B3" w14:textId="174255DD" w:rsidR="005C128D" w:rsidRDefault="00690C7D" w:rsidP="00912C04">
      <w:pPr>
        <w:jc w:val="center"/>
      </w:pPr>
      <w:r>
        <w:rPr>
          <w:rFonts w:hint="eastAsia"/>
        </w:rPr>
        <w:t>→</w:t>
      </w:r>
      <w:r w:rsidR="00BF7E02">
        <w:rPr>
          <w:noProof/>
        </w:rPr>
        <w:drawing>
          <wp:inline distT="0" distB="0" distL="0" distR="0" wp14:anchorId="66E4B083" wp14:editId="4441779B">
            <wp:extent cx="3214468" cy="1524415"/>
            <wp:effectExtent l="0" t="0" r="508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17" cy="15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21CC" w14:textId="166272A6" w:rsidR="008D2518" w:rsidRDefault="008D2518" w:rsidP="008D2518">
      <w:r>
        <w:tab/>
      </w:r>
      <w:r>
        <w:tab/>
      </w:r>
      <w:r>
        <w:tab/>
      </w:r>
      <w:r>
        <w:tab/>
      </w:r>
      <w:r w:rsidR="004B639A">
        <w:t>Part</w:t>
      </w:r>
      <w:r>
        <w:rPr>
          <w:rFonts w:hint="eastAsia"/>
        </w:rPr>
        <w:t>①</w:t>
      </w:r>
      <w:r>
        <w:t xml:space="preserve"> The market risk premium due to variance</w:t>
      </w:r>
    </w:p>
    <w:p w14:paraId="421D566A" w14:textId="4CCB0B19" w:rsidR="00912C04" w:rsidRDefault="008D2518" w:rsidP="00912C04">
      <w:r>
        <w:tab/>
      </w:r>
      <w:r>
        <w:tab/>
      </w:r>
      <w:r>
        <w:tab/>
      </w:r>
      <w:r>
        <w:tab/>
      </w:r>
      <w:r w:rsidR="004B639A">
        <w:t>Part</w:t>
      </w:r>
      <w:r>
        <w:rPr>
          <w:rFonts w:hint="eastAsia"/>
        </w:rPr>
        <w:t>②</w:t>
      </w:r>
      <w:r>
        <w:t xml:space="preserve"> The market risk premium related to the orthogonal part</w:t>
      </w:r>
    </w:p>
    <w:p w14:paraId="4C28AF34" w14:textId="622206BE" w:rsidR="001F4FA7" w:rsidRDefault="001F4FA7" w:rsidP="00912C04">
      <w:pPr>
        <w:rPr>
          <w:rFonts w:hint="eastAsia"/>
        </w:rPr>
      </w:pPr>
      <w:r>
        <w:tab/>
      </w:r>
      <w:r>
        <w:tab/>
        <w:t>Traditional predictive regression methods suffer from parameter instability</w:t>
      </w:r>
    </w:p>
    <w:p w14:paraId="7C856045" w14:textId="77777777" w:rsidR="00DD6EEF" w:rsidRDefault="001F4FA7" w:rsidP="00DD6EEF">
      <w:pPr>
        <w:ind w:left="840" w:firstLine="420"/>
      </w:pPr>
      <w:r>
        <w:t>Premise: the close relation between</w:t>
      </w:r>
      <w:r w:rsidR="00DD6EEF">
        <w:t xml:space="preserve"> predictive beta and contemporaneous beta</w:t>
      </w:r>
    </w:p>
    <w:p w14:paraId="1367ED76" w14:textId="4B09BAF3" w:rsidR="001F4FA7" w:rsidRPr="008F365A" w:rsidRDefault="00DD6EEF" w:rsidP="00DD6EEF">
      <w:pPr>
        <w:ind w:left="840" w:firstLine="420"/>
        <w:rPr>
          <w:color w:val="FF0000"/>
        </w:rPr>
      </w:pPr>
      <w:r w:rsidRPr="008F365A">
        <w:rPr>
          <w:rFonts w:hint="eastAsia"/>
          <w:color w:val="FF0000"/>
        </w:rPr>
        <w:t>→</w:t>
      </w:r>
      <w:r w:rsidRPr="008F365A">
        <w:rPr>
          <w:rFonts w:hint="eastAsia"/>
          <w:color w:val="FF0000"/>
        </w:rPr>
        <w:t xml:space="preserve"> </w:t>
      </w:r>
      <w:r w:rsidRPr="008F365A">
        <w:rPr>
          <w:color w:val="FF0000"/>
        </w:rPr>
        <w:t>Contemporaneous beta approach is better:</w:t>
      </w:r>
    </w:p>
    <w:p w14:paraId="60C19483" w14:textId="21075ED7" w:rsidR="00DD6EEF" w:rsidRDefault="00DD6EEF" w:rsidP="00DD6EEF">
      <w:pPr>
        <w:pStyle w:val="a3"/>
        <w:numPr>
          <w:ilvl w:val="0"/>
          <w:numId w:val="23"/>
        </w:numPr>
        <w:ind w:firstLineChars="0"/>
      </w:pPr>
      <w:r>
        <w:t>The contemporaneous beta might be a much more accurate estimate</w:t>
      </w:r>
    </w:p>
    <w:p w14:paraId="32CE1DB9" w14:textId="71DD73DC" w:rsidR="00DD6EEF" w:rsidRDefault="00DD6EEF" w:rsidP="00DD6EEF">
      <w:pPr>
        <w:pStyle w:val="a3"/>
        <w:numPr>
          <w:ilvl w:val="0"/>
          <w:numId w:val="23"/>
        </w:numPr>
        <w:ind w:firstLineChars="0"/>
      </w:pPr>
      <w:r>
        <w:t>Using daily high frequency data can be more flexible over time</w:t>
      </w:r>
    </w:p>
    <w:p w14:paraId="050E7182" w14:textId="4B0657B2" w:rsidR="00BF7E02" w:rsidRDefault="00BF7E02" w:rsidP="00912C04">
      <w:r>
        <w:tab/>
      </w:r>
      <w:r>
        <w:tab/>
        <w:t>Why orthogonal risk is largely unrelated to the VRP:</w:t>
      </w:r>
    </w:p>
    <w:p w14:paraId="697F9F83" w14:textId="00202C34" w:rsidR="00BF7E02" w:rsidRDefault="00BF7E02" w:rsidP="00BF7E02">
      <w:pPr>
        <w:pStyle w:val="a3"/>
        <w:numPr>
          <w:ilvl w:val="0"/>
          <w:numId w:val="21"/>
        </w:numPr>
        <w:ind w:firstLineChars="0"/>
      </w:pPr>
      <w:r>
        <w:t>The predictive power decreases as the forecast horizon increases, while the opposite is true for other predictors (Rapach, 2010)</w:t>
      </w:r>
    </w:p>
    <w:p w14:paraId="6D4C69CE" w14:textId="3ADFC377" w:rsidR="00BF7E02" w:rsidRDefault="00BF7E02" w:rsidP="00BF7E02">
      <w:pPr>
        <w:pStyle w:val="a3"/>
        <w:numPr>
          <w:ilvl w:val="0"/>
          <w:numId w:val="21"/>
        </w:numPr>
        <w:ind w:firstLineChars="0"/>
      </w:pPr>
      <w:r>
        <w:t xml:space="preserve">Other predictors tend to perform well during recession. These periods don’t coincide with VRP’s strong predictive periods. </w:t>
      </w:r>
    </w:p>
    <w:p w14:paraId="7D786DC6" w14:textId="3F5E2863" w:rsidR="004B639A" w:rsidRDefault="004B639A" w:rsidP="00912C04">
      <w:r>
        <w:tab/>
      </w:r>
      <w:r>
        <w:tab/>
      </w:r>
      <w:r w:rsidR="00BF7E02">
        <w:t>Empirical i</w:t>
      </w:r>
      <w:r>
        <w:t>mplications:</w:t>
      </w:r>
    </w:p>
    <w:p w14:paraId="70B8DA02" w14:textId="538A8E0E" w:rsidR="004B639A" w:rsidRDefault="004B639A" w:rsidP="004B639A">
      <w:pPr>
        <w:pStyle w:val="a3"/>
        <w:numPr>
          <w:ilvl w:val="0"/>
          <w:numId w:val="20"/>
        </w:numPr>
        <w:ind w:firstLineChars="0"/>
      </w:pPr>
      <w:r>
        <w:t>The slope of market risk premium &amp; market variance risk premium is largely determined by market variance</w:t>
      </w:r>
    </w:p>
    <w:p w14:paraId="05788EA0" w14:textId="1324058B" w:rsidR="00D57132" w:rsidRPr="004B639A" w:rsidRDefault="00D57132" w:rsidP="004B639A">
      <w:pPr>
        <w:pStyle w:val="a3"/>
        <w:numPr>
          <w:ilvl w:val="0"/>
          <w:numId w:val="20"/>
        </w:numPr>
        <w:ind w:firstLineChars="0"/>
      </w:pPr>
      <w:r>
        <w:t>Market returns are more accurately predictable when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large.</w:t>
      </w:r>
    </w:p>
    <w:p w14:paraId="390826AA" w14:textId="21885399" w:rsidR="00932803" w:rsidRDefault="00932803" w:rsidP="00E77F84">
      <w:pPr>
        <w:pStyle w:val="a3"/>
        <w:numPr>
          <w:ilvl w:val="0"/>
          <w:numId w:val="9"/>
        </w:numPr>
        <w:ind w:firstLineChars="0"/>
      </w:pPr>
      <w:r>
        <w:t>Data</w:t>
      </w:r>
    </w:p>
    <w:p w14:paraId="1999C6DC" w14:textId="76A9A91A" w:rsidR="00A030D0" w:rsidRDefault="00A030D0" w:rsidP="00A030D0">
      <w:pPr>
        <w:pStyle w:val="a3"/>
        <w:numPr>
          <w:ilvl w:val="1"/>
          <w:numId w:val="9"/>
        </w:numPr>
        <w:ind w:firstLineChars="0"/>
      </w:pPr>
      <w:r>
        <w:t>High-frequency intraday trading data for the S&amp;P500 index: Tickdata</w:t>
      </w:r>
    </w:p>
    <w:p w14:paraId="65C93644" w14:textId="5E5F7A19" w:rsidR="003E5F0E" w:rsidRDefault="003E5F0E" w:rsidP="00A030D0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1</w:t>
      </w:r>
      <w:r>
        <w:t>990.1 ~ 2016.12</w:t>
      </w:r>
    </w:p>
    <w:p w14:paraId="3A06382F" w14:textId="0DB3C7CC" w:rsidR="00A030D0" w:rsidRDefault="00932803" w:rsidP="00A030D0">
      <w:pPr>
        <w:pStyle w:val="a3"/>
        <w:numPr>
          <w:ilvl w:val="0"/>
          <w:numId w:val="9"/>
        </w:numPr>
        <w:ind w:firstLineChars="0"/>
      </w:pPr>
      <w:r>
        <w:t>Method</w:t>
      </w:r>
    </w:p>
    <w:p w14:paraId="45048A97" w14:textId="452D3A28" w:rsidR="00A030D0" w:rsidRDefault="00A030D0" w:rsidP="00A030D0">
      <w:pPr>
        <w:pStyle w:val="a3"/>
        <w:numPr>
          <w:ilvl w:val="1"/>
          <w:numId w:val="9"/>
        </w:numPr>
        <w:ind w:firstLineChars="0"/>
      </w:pPr>
      <w:r>
        <w:t xml:space="preserve">Forecasting </w:t>
      </w:r>
      <w:r w:rsidR="008F365A">
        <w:rPr>
          <w:rFonts w:hint="eastAsia"/>
        </w:rPr>
        <w:t>realized</w:t>
      </w:r>
      <w:r w:rsidR="008F365A">
        <w:t xml:space="preserve"> </w:t>
      </w:r>
      <w:r>
        <w:t>variance</w:t>
      </w:r>
    </w:p>
    <w:p w14:paraId="39E982E1" w14:textId="38855298" w:rsidR="00A030D0" w:rsidRDefault="00B60CBF" w:rsidP="00B60CBF">
      <w:pPr>
        <w:pStyle w:val="a3"/>
        <w:numPr>
          <w:ilvl w:val="2"/>
          <w:numId w:val="9"/>
        </w:numPr>
        <w:ind w:firstLineChars="0"/>
      </w:pPr>
      <w:r>
        <w:t>Squared log returns from the last tick of each 5-minute internal</w:t>
      </w:r>
    </w:p>
    <w:p w14:paraId="6DBE7625" w14:textId="6F25B3EF" w:rsidR="00B60CBF" w:rsidRDefault="00B60CBF" w:rsidP="00B60CBF">
      <w:pPr>
        <w:pStyle w:val="a3"/>
        <w:numPr>
          <w:ilvl w:val="2"/>
          <w:numId w:val="9"/>
        </w:numPr>
        <w:ind w:firstLineChars="0"/>
      </w:pPr>
      <w:r>
        <w:lastRenderedPageBreak/>
        <w:t xml:space="preserve">Rescale to the monthly level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RV series</w:t>
      </w:r>
    </w:p>
    <w:p w14:paraId="2CAB1C5F" w14:textId="7730B804" w:rsidR="00B60CBF" w:rsidRDefault="00DD6EEF" w:rsidP="00994B00">
      <w:pPr>
        <w:pStyle w:val="a3"/>
        <w:numPr>
          <w:ilvl w:val="2"/>
          <w:numId w:val="9"/>
        </w:numPr>
        <w:ind w:firstLineChars="0"/>
      </w:pPr>
      <w:r>
        <w:rPr>
          <w:noProof/>
        </w:rPr>
        <w:drawing>
          <wp:inline distT="0" distB="0" distL="0" distR="0" wp14:anchorId="4CA5AF62" wp14:editId="0B46304D">
            <wp:extent cx="2552700" cy="411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75A1" w14:textId="72BF7858" w:rsidR="00994B00" w:rsidRDefault="00994B00" w:rsidP="00994B00">
      <w:pPr>
        <w:pStyle w:val="a3"/>
        <w:numPr>
          <w:ilvl w:val="2"/>
          <w:numId w:val="9"/>
        </w:numPr>
        <w:ind w:firstLineChars="0"/>
      </w:pPr>
      <w:r>
        <w:t>The monthly variance is estimated by averaging the 22 daily forecasts</w:t>
      </w:r>
    </w:p>
    <w:p w14:paraId="731B73FC" w14:textId="3F326202" w:rsidR="00B60CBF" w:rsidRDefault="00B60CBF" w:rsidP="00B60CBF">
      <w:pPr>
        <w:pStyle w:val="a3"/>
        <w:numPr>
          <w:ilvl w:val="1"/>
          <w:numId w:val="9"/>
        </w:numPr>
        <w:ind w:firstLineChars="0"/>
      </w:pPr>
      <w:r>
        <w:t>Estimation of the VRP</w:t>
      </w:r>
    </w:p>
    <w:p w14:paraId="0AE6C7FD" w14:textId="14BDC0AE" w:rsidR="00B60CBF" w:rsidRDefault="00266104" w:rsidP="00266104">
      <w:pPr>
        <w:ind w:left="1680"/>
      </w:pPr>
      <w:r>
        <w:t>Tradition: VRP</w:t>
      </w:r>
      <w:r w:rsidR="00D077F6" w:rsidRPr="00994B00">
        <w:rPr>
          <w:vertAlign w:val="subscript"/>
        </w:rPr>
        <w:t>t</w:t>
      </w:r>
      <w:r>
        <w:t xml:space="preserve"> = VIX</w:t>
      </w:r>
      <w:r w:rsidR="00994B00" w:rsidRPr="00266104">
        <w:rPr>
          <w:vertAlign w:val="superscript"/>
        </w:rPr>
        <w:t>2</w:t>
      </w:r>
      <w:r w:rsidR="00994B00" w:rsidRPr="00994B00">
        <w:rPr>
          <w:vertAlign w:val="subscript"/>
        </w:rPr>
        <w:t>t-1</w:t>
      </w:r>
      <w:r>
        <w:t xml:space="preserve"> –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RV</m:t>
            </m:r>
          </m:e>
        </m:acc>
      </m:oMath>
      <w:r w:rsidR="00994B00" w:rsidRPr="00994B00">
        <w:rPr>
          <w:vertAlign w:val="subscript"/>
        </w:rPr>
        <w:t>t</w:t>
      </w:r>
    </w:p>
    <w:p w14:paraId="42428B80" w14:textId="69E9B34F" w:rsidR="00266104" w:rsidRDefault="00266104" w:rsidP="00266104">
      <w:pPr>
        <w:ind w:left="1680"/>
      </w:pPr>
      <w:r>
        <w:t xml:space="preserve">Problem: </w:t>
      </w:r>
      <w:r w:rsidR="00A5371B">
        <w:t>Timing mis</w:t>
      </w:r>
      <w:r w:rsidR="00CD490C">
        <w:rPr>
          <w:rFonts w:hint="eastAsia"/>
        </w:rPr>
        <w:t>-</w:t>
      </w:r>
      <w:r w:rsidR="00A5371B">
        <w:t>match</w:t>
      </w:r>
      <w:r w:rsidR="00846753">
        <w:t>(one with trend, the other no trend)</w:t>
      </w:r>
    </w:p>
    <w:p w14:paraId="4CA29468" w14:textId="01692E43" w:rsidR="00A5371B" w:rsidRDefault="00A5371B" w:rsidP="00266104">
      <w:pPr>
        <w:ind w:left="1680"/>
      </w:pPr>
      <w:r>
        <w:t>Solution: minimize any volatility trends affecting the VRP</w:t>
      </w:r>
      <w:r w:rsidR="00846753">
        <w:t>(both either average or last-trade-day estimation)</w:t>
      </w:r>
    </w:p>
    <w:p w14:paraId="24DB1D35" w14:textId="6C3107EF" w:rsidR="00A5371B" w:rsidRDefault="00A5371B" w:rsidP="00266104">
      <w:pPr>
        <w:ind w:left="1680"/>
      </w:pPr>
      <w:r>
        <w:rPr>
          <w:noProof/>
        </w:rPr>
        <w:drawing>
          <wp:inline distT="0" distB="0" distL="0" distR="0" wp14:anchorId="4D66F672" wp14:editId="77B7F389">
            <wp:extent cx="1857736" cy="801433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225" cy="81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476" w14:textId="75311CED" w:rsidR="00A5371B" w:rsidRDefault="00A5371B" w:rsidP="00266104">
      <w:pPr>
        <w:ind w:left="1680"/>
      </w:pPr>
      <w:r>
        <w:t>Nonparametric: VRP</w:t>
      </w:r>
      <w:r w:rsidRPr="00A5371B">
        <w:rPr>
          <w:vertAlign w:val="subscript"/>
        </w:rPr>
        <w:t>N</w:t>
      </w:r>
      <w:r>
        <w:t xml:space="preserve"> = scaled VIX</w:t>
      </w:r>
      <w:r w:rsidRPr="00A5371B">
        <w:rPr>
          <w:vertAlign w:val="superscript"/>
        </w:rPr>
        <w:t>2</w:t>
      </w:r>
      <w:r>
        <w:t xml:space="preserve"> – historical RV, both averaged over the entire month</w:t>
      </w:r>
    </w:p>
    <w:p w14:paraId="1FEB9B40" w14:textId="086AD012" w:rsidR="00A5371B" w:rsidRDefault="00A5371B" w:rsidP="00D97E31">
      <w:pPr>
        <w:jc w:val="center"/>
      </w:pPr>
      <w:r>
        <w:rPr>
          <w:noProof/>
        </w:rPr>
        <w:drawing>
          <wp:inline distT="0" distB="0" distL="0" distR="0" wp14:anchorId="2B00AD2A" wp14:editId="605B7CE5">
            <wp:extent cx="5102552" cy="2584450"/>
            <wp:effectExtent l="0" t="0" r="317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253" cy="260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0887" w14:textId="577EF4BD" w:rsidR="00A5371B" w:rsidRDefault="00A5371B" w:rsidP="00A5371B">
      <w:pPr>
        <w:pStyle w:val="a3"/>
        <w:numPr>
          <w:ilvl w:val="1"/>
          <w:numId w:val="9"/>
        </w:numPr>
        <w:ind w:firstLineChars="0"/>
      </w:pPr>
      <w:r>
        <w:t>Estimation of the contemporaneous betas</w:t>
      </w:r>
      <w:r w:rsidR="00B84160">
        <w:t xml:space="preserve"> and correlations</w:t>
      </w:r>
    </w:p>
    <w:p w14:paraId="6C1C78B1" w14:textId="2127F1E6" w:rsidR="00A5371B" w:rsidRDefault="00B84160" w:rsidP="00B84160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19389C77" wp14:editId="5748DBE0">
            <wp:extent cx="2724150" cy="304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D003" w14:textId="3BD7A137" w:rsidR="00B84160" w:rsidRDefault="00B84160" w:rsidP="00B84160">
      <w:pPr>
        <w:pStyle w:val="a3"/>
        <w:ind w:left="1680" w:firstLineChars="0" w:firstLine="0"/>
      </w:pPr>
      <w:r>
        <w:rPr>
          <w:rFonts w:hint="eastAsia"/>
        </w:rPr>
        <w:t>O</w:t>
      </w:r>
      <w:r>
        <w:t>LS &amp; WLS (in case of heteroscedasticity)</w:t>
      </w:r>
    </w:p>
    <w:p w14:paraId="5A5085FB" w14:textId="48137481" w:rsidR="00B84160" w:rsidRDefault="00FA3689" w:rsidP="00B84160">
      <w:pPr>
        <w:pStyle w:val="a3"/>
        <w:ind w:left="1680" w:firstLineChars="0" w:firstLine="0"/>
      </w:pPr>
      <w:r>
        <w:t xml:space="preserve">Window: </w:t>
      </w:r>
      <w:r w:rsidR="00B84160">
        <w:t>One month &amp; three months</w:t>
      </w:r>
    </w:p>
    <w:p w14:paraId="3E87DEB1" w14:textId="2514FDF8" w:rsidR="00FA3689" w:rsidRDefault="00B84160" w:rsidP="00846753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13207BBF" wp14:editId="6ECFFADB">
            <wp:extent cx="1803400" cy="40936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67" cy="4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689">
        <w:t>One single month, non-overlapping</w:t>
      </w:r>
    </w:p>
    <w:p w14:paraId="7FA5A306" w14:textId="77777777" w:rsidR="00846753" w:rsidRDefault="00686587" w:rsidP="00686587">
      <w:pPr>
        <w:pStyle w:val="a3"/>
        <w:numPr>
          <w:ilvl w:val="1"/>
          <w:numId w:val="9"/>
        </w:numPr>
        <w:ind w:firstLineChars="0"/>
      </w:pPr>
      <w:r>
        <w:t>Out-of-sample prediction</w:t>
      </w:r>
    </w:p>
    <w:p w14:paraId="50886A2D" w14:textId="34C0F44E" w:rsidR="00846753" w:rsidRDefault="00846753" w:rsidP="00846753">
      <w:pPr>
        <w:ind w:left="1260" w:firstLine="420"/>
      </w:pPr>
      <w:r>
        <w:rPr>
          <w:noProof/>
        </w:rPr>
        <w:drawing>
          <wp:inline distT="0" distB="0" distL="0" distR="0" wp14:anchorId="7278C12F" wp14:editId="1D981EEA">
            <wp:extent cx="2305050" cy="6813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B196" w14:textId="1EA8BA10" w:rsidR="00846753" w:rsidRDefault="00846753" w:rsidP="00846753">
      <w:pPr>
        <w:ind w:left="1260" w:firstLine="420"/>
      </w:pPr>
      <w:r>
        <w:rPr>
          <w:rFonts w:hint="eastAsia"/>
        </w:rPr>
        <w:lastRenderedPageBreak/>
        <w:t>W</w:t>
      </w:r>
      <w:r>
        <w:t xml:space="preserve">ald stats: </w:t>
      </w:r>
      <w:r>
        <w:rPr>
          <w:noProof/>
        </w:rPr>
        <w:drawing>
          <wp:inline distT="0" distB="0" distL="0" distR="0" wp14:anchorId="49F6BD1F" wp14:editId="19C228C7">
            <wp:extent cx="2288643" cy="657361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" b="3426"/>
                    <a:stretch/>
                  </pic:blipFill>
                  <pic:spPr bwMode="auto">
                    <a:xfrm>
                      <a:off x="0" y="0"/>
                      <a:ext cx="2321063" cy="666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679B0" w14:textId="4A8AE630" w:rsidR="00686587" w:rsidRDefault="00686587" w:rsidP="00846753">
      <w:pPr>
        <w:pStyle w:val="a3"/>
        <w:ind w:left="1260" w:firstLineChars="0" w:firstLine="0"/>
        <w:jc w:val="center"/>
      </w:pPr>
    </w:p>
    <w:p w14:paraId="59FA3BC5" w14:textId="6AD20ADD" w:rsidR="00686587" w:rsidRDefault="00686587" w:rsidP="00686587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V</w:t>
      </w:r>
      <w:r>
        <w:t>RP approach</w:t>
      </w:r>
      <w:r w:rsidR="00FA3689">
        <w:t xml:space="preserve"> (traditional)</w:t>
      </w:r>
    </w:p>
    <w:p w14:paraId="1DBC732B" w14:textId="73C34F3E" w:rsidR="00686587" w:rsidRDefault="00686587" w:rsidP="00846753">
      <w:pPr>
        <w:ind w:left="1680" w:firstLine="420"/>
      </w:pPr>
      <w:r>
        <w:rPr>
          <w:noProof/>
        </w:rPr>
        <w:drawing>
          <wp:inline distT="0" distB="0" distL="0" distR="0" wp14:anchorId="64EA26BD" wp14:editId="64F678FB">
            <wp:extent cx="1596235" cy="263894"/>
            <wp:effectExtent l="0" t="0" r="444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60" cy="29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297A" w14:textId="45EE6BC0" w:rsidR="00686587" w:rsidRDefault="00686587" w:rsidP="00686587">
      <w:pPr>
        <w:pStyle w:val="a3"/>
        <w:numPr>
          <w:ilvl w:val="2"/>
          <w:numId w:val="9"/>
        </w:numPr>
        <w:ind w:firstLineChars="0"/>
      </w:pPr>
      <w:r>
        <w:t>Contemporaneous beta approach</w:t>
      </w:r>
    </w:p>
    <w:p w14:paraId="6BF8780A" w14:textId="2B11598C" w:rsidR="00D97E31" w:rsidRDefault="00D97E31" w:rsidP="00D97E31">
      <w:pPr>
        <w:pStyle w:val="a3"/>
        <w:ind w:left="1680" w:firstLineChars="0"/>
      </w:pPr>
      <w:r>
        <w:rPr>
          <w:noProof/>
        </w:rPr>
        <w:drawing>
          <wp:inline distT="0" distB="0" distL="0" distR="0" wp14:anchorId="78658CB9" wp14:editId="7000A1A9">
            <wp:extent cx="1149350" cy="221029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2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07C1" w14:textId="0E4F0F18" w:rsidR="00D97E31" w:rsidRDefault="00D97E31" w:rsidP="00D97E31">
      <w:pPr>
        <w:pStyle w:val="a3"/>
        <w:numPr>
          <w:ilvl w:val="2"/>
          <w:numId w:val="9"/>
        </w:numPr>
        <w:ind w:firstLineChars="0"/>
      </w:pPr>
      <w:r>
        <w:t>Hybrid approach</w:t>
      </w:r>
    </w:p>
    <w:p w14:paraId="0A02D6BA" w14:textId="0C55E62A" w:rsidR="00D97E31" w:rsidRDefault="00D97E31" w:rsidP="00D97E31">
      <w:pPr>
        <w:pStyle w:val="a3"/>
        <w:ind w:left="1680" w:firstLineChars="0"/>
      </w:pPr>
      <w:r>
        <w:rPr>
          <w:noProof/>
        </w:rPr>
        <w:drawing>
          <wp:inline distT="0" distB="0" distL="0" distR="0" wp14:anchorId="566B83AB" wp14:editId="1C531764">
            <wp:extent cx="2336800" cy="261582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67" cy="28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92C1" w14:textId="0FDBEA7A" w:rsidR="00932803" w:rsidRDefault="00932803" w:rsidP="00932803">
      <w:pPr>
        <w:pStyle w:val="2"/>
      </w:pPr>
      <w:r>
        <w:rPr>
          <w:rFonts w:hint="eastAsia"/>
        </w:rPr>
        <w:t>E</w:t>
      </w:r>
      <w:r>
        <w:t>mpirical Result</w:t>
      </w:r>
    </w:p>
    <w:p w14:paraId="00DA39E8" w14:textId="7858482F" w:rsidR="00686587" w:rsidRDefault="00686587" w:rsidP="0068658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O</w:t>
      </w:r>
      <w:r>
        <w:t>ut-of-sample predictions</w:t>
      </w:r>
    </w:p>
    <w:p w14:paraId="6DD63200" w14:textId="20EC27A6" w:rsidR="00686587" w:rsidRDefault="00D97E31" w:rsidP="0068658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79E33E3" wp14:editId="47CD9103">
            <wp:extent cx="5274310" cy="40506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DCE7" w14:textId="69EC4E86" w:rsidR="00622211" w:rsidRDefault="00622211" w:rsidP="00622211">
      <w:pPr>
        <w:pStyle w:val="a3"/>
        <w:ind w:left="840" w:firstLineChars="0" w:firstLine="0"/>
      </w:pPr>
      <w:r>
        <w:t>* Constrained: Campbell and Thompson(2008): impose a positivity constraint on the return forecast</w:t>
      </w:r>
    </w:p>
    <w:p w14:paraId="298D5C59" w14:textId="22D9C57F" w:rsidR="00622211" w:rsidRDefault="00622211" w:rsidP="00622211">
      <w:pPr>
        <w:pStyle w:val="a3"/>
        <w:ind w:left="840" w:firstLineChars="0" w:firstLine="0"/>
        <w:rPr>
          <w:color w:val="FF0000"/>
        </w:rPr>
      </w:pPr>
      <w:r w:rsidRPr="00CE592E">
        <w:rPr>
          <w:rFonts w:hint="eastAsia"/>
          <w:color w:val="FF0000"/>
        </w:rPr>
        <w:t>→</w:t>
      </w:r>
      <w:r w:rsidRPr="00CE592E">
        <w:rPr>
          <w:color w:val="FF0000"/>
        </w:rPr>
        <w:t xml:space="preserve"> The new approach effectively improved the return predictability.</w:t>
      </w:r>
    </w:p>
    <w:p w14:paraId="177A6F62" w14:textId="16C9502C" w:rsidR="00CE592E" w:rsidRPr="00CE592E" w:rsidRDefault="00CE592E" w:rsidP="00CE592E">
      <w:pPr>
        <w:pStyle w:val="a3"/>
        <w:numPr>
          <w:ilvl w:val="0"/>
          <w:numId w:val="14"/>
        </w:numPr>
        <w:ind w:firstLineChars="0"/>
      </w:pPr>
      <w:r>
        <w:t>Time-varying prediction: contemporaneous correlation &amp; predictive R</w:t>
      </w:r>
      <w:r w:rsidRPr="00CE592E">
        <w:rPr>
          <w:vertAlign w:val="superscript"/>
        </w:rPr>
        <w:t>2</w:t>
      </w:r>
    </w:p>
    <w:p w14:paraId="63A91802" w14:textId="3D9CA6BE" w:rsidR="00622211" w:rsidRDefault="00CE592E" w:rsidP="00CE592E">
      <w:r>
        <w:rPr>
          <w:noProof/>
        </w:rPr>
        <w:lastRenderedPageBreak/>
        <w:drawing>
          <wp:inline distT="0" distB="0" distL="0" distR="0" wp14:anchorId="3D5B7B31" wp14:editId="6BCE4E70">
            <wp:extent cx="5248275" cy="5162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481" w14:textId="21886191" w:rsidR="00CE592E" w:rsidRDefault="00CE592E" w:rsidP="00CE592E">
      <w:r>
        <w:tab/>
      </w:r>
      <w:r>
        <w:rPr>
          <w:rFonts w:hint="eastAsia"/>
        </w:rPr>
        <w:t>→</w:t>
      </w:r>
      <w:r>
        <w:t xml:space="preserve"> The return predictability is relatively high when contemporaneous correlation is higher. </w:t>
      </w:r>
    </w:p>
    <w:p w14:paraId="337D3DF8" w14:textId="635F427E" w:rsidR="009B041B" w:rsidRDefault="00CE592E" w:rsidP="00CE592E">
      <w:pPr>
        <w:pStyle w:val="a3"/>
        <w:numPr>
          <w:ilvl w:val="0"/>
          <w:numId w:val="14"/>
        </w:numPr>
        <w:ind w:firstLineChars="0"/>
      </w:pPr>
      <w:r>
        <w:t>Explaining the orthogonal premium</w:t>
      </w:r>
      <w:r w:rsidR="00DE2842">
        <w:t xml:space="preserve"> by other predictors</w:t>
      </w:r>
    </w:p>
    <w:p w14:paraId="13A8A49A" w14:textId="1398EA9B" w:rsidR="00DE2842" w:rsidRDefault="00DE2842" w:rsidP="00DE2842">
      <w:pPr>
        <w:ind w:left="1260"/>
        <w:rPr>
          <w:noProof/>
        </w:rPr>
      </w:pPr>
      <w:r>
        <w:t>Why: they work in different horizons and periods(post-1993)</w:t>
      </w:r>
      <w:r w:rsidRPr="00DE2842">
        <w:rPr>
          <w:noProof/>
        </w:rPr>
        <w:t xml:space="preserve"> </w:t>
      </w:r>
    </w:p>
    <w:p w14:paraId="3CFC7FA9" w14:textId="6C6D062F" w:rsidR="00CE592E" w:rsidRDefault="00DE2842" w:rsidP="00DE2842">
      <w:r>
        <w:rPr>
          <w:noProof/>
        </w:rPr>
        <w:lastRenderedPageBreak/>
        <w:drawing>
          <wp:inline distT="0" distB="0" distL="0" distR="0" wp14:anchorId="50CD91C9" wp14:editId="7FF62007">
            <wp:extent cx="5274310" cy="48793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33D06" w14:textId="6C4600C3" w:rsidR="00DE2842" w:rsidRDefault="00DE2842" w:rsidP="00DE2842">
      <w:pPr>
        <w:rPr>
          <w:vertAlign w:val="superscript"/>
        </w:rPr>
      </w:pPr>
      <w:r>
        <w:tab/>
      </w:r>
      <w:r>
        <w:rPr>
          <w:rFonts w:hint="eastAsia"/>
        </w:rPr>
        <w:t>→</w:t>
      </w:r>
      <w:r>
        <w:t xml:space="preserve"> None of the other 8 predictors considerably improves the OOS-R</w:t>
      </w:r>
      <w:r w:rsidRPr="00DE2842">
        <w:rPr>
          <w:vertAlign w:val="superscript"/>
        </w:rPr>
        <w:t>2</w:t>
      </w:r>
    </w:p>
    <w:p w14:paraId="5498227D" w14:textId="1E82ABFC" w:rsidR="00DE2842" w:rsidRDefault="00DE2842" w:rsidP="00DE284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E</w:t>
      </w:r>
      <w:r>
        <w:t>valuating economic significance- a trading strategy</w:t>
      </w:r>
    </w:p>
    <w:p w14:paraId="1D4AA728" w14:textId="26D40810" w:rsidR="00DE2842" w:rsidRDefault="00A553EB" w:rsidP="00DE2842">
      <w:pPr>
        <w:pStyle w:val="a3"/>
        <w:ind w:left="1260" w:firstLineChars="0" w:firstLine="0"/>
      </w:pPr>
      <w:r>
        <w:t>Unconditional</w:t>
      </w:r>
      <w:r w:rsidR="00DE2842">
        <w:t xml:space="preserve"> weight: </w:t>
      </w:r>
      <w:r w:rsidR="00DE2842">
        <w:rPr>
          <w:noProof/>
        </w:rPr>
        <w:drawing>
          <wp:inline distT="0" distB="0" distL="0" distR="0" wp14:anchorId="4CA8589A" wp14:editId="129BBB24">
            <wp:extent cx="794825" cy="421417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29" cy="4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90B" w14:textId="0BE9F6C8" w:rsidR="00A553EB" w:rsidRPr="00DE2842" w:rsidRDefault="00A553EB" w:rsidP="00DE2842">
      <w:pPr>
        <w:pStyle w:val="a3"/>
        <w:ind w:left="1260" w:firstLineChars="0" w:firstLine="0"/>
      </w:pPr>
      <w:r>
        <w:t>Conditional weight:</w:t>
      </w:r>
      <w:r>
        <w:rPr>
          <w:noProof/>
        </w:rPr>
        <w:drawing>
          <wp:inline distT="0" distB="0" distL="0" distR="0" wp14:anchorId="2249A7C2" wp14:editId="101EE412">
            <wp:extent cx="1962443" cy="380011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581" cy="41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0F70" w14:textId="550C263B" w:rsidR="009B041B" w:rsidRDefault="009B041B" w:rsidP="009B041B">
      <w:pPr>
        <w:ind w:firstLineChars="175" w:firstLine="420"/>
      </w:pPr>
      <w:r>
        <w:rPr>
          <w:noProof/>
        </w:rPr>
        <w:lastRenderedPageBreak/>
        <w:drawing>
          <wp:inline distT="0" distB="0" distL="0" distR="0" wp14:anchorId="0972A235" wp14:editId="29F5C826">
            <wp:extent cx="5274310" cy="2773289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58"/>
                    <a:stretch/>
                  </pic:blipFill>
                  <pic:spPr bwMode="auto">
                    <a:xfrm>
                      <a:off x="0" y="0"/>
                      <a:ext cx="5274310" cy="2773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389C3" w14:textId="5836BDED" w:rsidR="00A553EB" w:rsidRDefault="00A553EB" w:rsidP="00A553E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t>n-sample predictions</w:t>
      </w:r>
    </w:p>
    <w:p w14:paraId="4720FF4B" w14:textId="3CE6452F" w:rsidR="00A553EB" w:rsidRDefault="00A553EB" w:rsidP="00A553EB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8F8FCF4" wp14:editId="18DDE973">
            <wp:extent cx="2475914" cy="196142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212" cy="25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3401" w14:textId="698F262B" w:rsidR="009B041B" w:rsidRDefault="009B041B" w:rsidP="009B041B">
      <w:pPr>
        <w:ind w:firstLineChars="175" w:firstLine="420"/>
      </w:pPr>
      <w:r>
        <w:rPr>
          <w:noProof/>
        </w:rPr>
        <w:drawing>
          <wp:inline distT="0" distB="0" distL="0" distR="0" wp14:anchorId="68B40A54" wp14:editId="38E94F2C">
            <wp:extent cx="5274310" cy="46831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41FF" w14:textId="19AAFC33" w:rsidR="009B041B" w:rsidRPr="003E5F0E" w:rsidRDefault="009B041B" w:rsidP="009B041B">
      <w:pPr>
        <w:ind w:firstLineChars="175" w:firstLine="420"/>
      </w:pPr>
      <w:r>
        <w:rPr>
          <w:noProof/>
        </w:rPr>
        <w:lastRenderedPageBreak/>
        <w:drawing>
          <wp:inline distT="0" distB="0" distL="0" distR="0" wp14:anchorId="4F99F89C" wp14:editId="11CCA534">
            <wp:extent cx="4876800" cy="47529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135" w14:textId="211B9D9F" w:rsidR="00932803" w:rsidRDefault="00932803" w:rsidP="00932803">
      <w:pPr>
        <w:pStyle w:val="2"/>
      </w:pPr>
      <w:r>
        <w:rPr>
          <w:rFonts w:hint="eastAsia"/>
        </w:rPr>
        <w:t>C</w:t>
      </w:r>
      <w:r>
        <w:t>onclusion</w:t>
      </w:r>
    </w:p>
    <w:p w14:paraId="638B4803" w14:textId="66D0A337" w:rsidR="00CD490C" w:rsidRDefault="00CD490C" w:rsidP="00A553EB">
      <w:pPr>
        <w:pStyle w:val="a3"/>
        <w:numPr>
          <w:ilvl w:val="0"/>
          <w:numId w:val="14"/>
        </w:numPr>
        <w:ind w:firstLineChars="0"/>
      </w:pPr>
      <w:r>
        <w:t>This method can effectively predict market risk premium.</w:t>
      </w:r>
    </w:p>
    <w:p w14:paraId="3B7A958F" w14:textId="021E6813" w:rsidR="009B041B" w:rsidRDefault="00A553EB" w:rsidP="00A553EB">
      <w:pPr>
        <w:pStyle w:val="a3"/>
        <w:numPr>
          <w:ilvl w:val="0"/>
          <w:numId w:val="14"/>
        </w:numPr>
        <w:ind w:firstLineChars="0"/>
      </w:pPr>
      <w:r>
        <w:t>The slope that determines the contemporaneous relationship between market and variance risk resembles the relationship between the risk premium of the market and market variance.</w:t>
      </w:r>
    </w:p>
    <w:p w14:paraId="7A145AED" w14:textId="045CA768" w:rsidR="00A553EB" w:rsidRDefault="00A553EB" w:rsidP="00A553EB">
      <w:pPr>
        <w:pStyle w:val="a3"/>
        <w:numPr>
          <w:ilvl w:val="0"/>
          <w:numId w:val="14"/>
        </w:numPr>
        <w:ind w:firstLineChars="0"/>
      </w:pPr>
      <w:r w:rsidRPr="00A553EB">
        <w:t>The predictive power strongly depends on the degree of the contemporaneous correlation between returns</w:t>
      </w:r>
      <w:r>
        <w:t xml:space="preserve"> </w:t>
      </w:r>
      <w:r w:rsidRPr="00A553EB">
        <w:t>and variance innovations.</w:t>
      </w:r>
    </w:p>
    <w:p w14:paraId="718EEFAF" w14:textId="4590BE5B" w:rsidR="00A553EB" w:rsidRDefault="00A553EB" w:rsidP="00A553EB">
      <w:pPr>
        <w:pStyle w:val="a3"/>
        <w:numPr>
          <w:ilvl w:val="0"/>
          <w:numId w:val="14"/>
        </w:numPr>
        <w:ind w:firstLineChars="0"/>
      </w:pPr>
      <w:r w:rsidRPr="00A553EB">
        <w:t>Although the VRP is constructed from option prices on</w:t>
      </w:r>
      <w:r>
        <w:t xml:space="preserve"> </w:t>
      </w:r>
      <w:r w:rsidRPr="00A553EB">
        <w:t>the index as well as index returns, its ability to predict future returns is not necessarily restricted to the equity index.</w:t>
      </w:r>
    </w:p>
    <w:p w14:paraId="5CE38F09" w14:textId="16519253" w:rsidR="00CD490C" w:rsidRDefault="00CD490C" w:rsidP="00CD490C">
      <w:pPr>
        <w:pStyle w:val="2"/>
      </w:pPr>
      <w:r>
        <w:t>R</w:t>
      </w:r>
      <w:r>
        <w:rPr>
          <w:rFonts w:hint="eastAsia"/>
        </w:rPr>
        <w:t>eflection</w:t>
      </w:r>
    </w:p>
    <w:p w14:paraId="52673412" w14:textId="36E2F5D5" w:rsidR="00CD490C" w:rsidRDefault="00CD490C" w:rsidP="00CD490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Empirical</w:t>
      </w:r>
      <w:r>
        <w:t xml:space="preserve"> </w:t>
      </w:r>
      <w:r>
        <w:rPr>
          <w:rFonts w:hint="eastAsia"/>
        </w:rPr>
        <w:t>research</w:t>
      </w:r>
    </w:p>
    <w:p w14:paraId="425BA633" w14:textId="6CFF2480" w:rsidR="00CD490C" w:rsidRDefault="00CD490C" w:rsidP="00CD490C">
      <w:pPr>
        <w:pStyle w:val="a3"/>
        <w:numPr>
          <w:ilvl w:val="0"/>
          <w:numId w:val="24"/>
        </w:numPr>
        <w:ind w:firstLineChars="0"/>
      </w:pPr>
      <w:r>
        <w:t>Apply VRP to other assets</w:t>
      </w:r>
    </w:p>
    <w:p w14:paraId="1328452E" w14:textId="111B8EF8" w:rsidR="005F5603" w:rsidRDefault="005F5603" w:rsidP="00CD490C">
      <w:pPr>
        <w:pStyle w:val="a3"/>
        <w:numPr>
          <w:ilvl w:val="0"/>
          <w:numId w:val="24"/>
        </w:numPr>
        <w:ind w:firstLineChars="0"/>
      </w:pPr>
      <w:r>
        <w:t>Mixed data frequ</w:t>
      </w:r>
      <w:r w:rsidR="00C97A98">
        <w:t>e</w:t>
      </w:r>
      <w:r>
        <w:t>ncy</w:t>
      </w:r>
    </w:p>
    <w:p w14:paraId="3DC66D3F" w14:textId="665813FD" w:rsidR="00CD490C" w:rsidRPr="00CD490C" w:rsidRDefault="00CD490C" w:rsidP="00CD490C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t xml:space="preserve">Time-varying predictability explanation </w:t>
      </w:r>
      <w:r w:rsidR="00C47DD4">
        <w:t>ho</w:t>
      </w:r>
    </w:p>
    <w:sectPr w:rsidR="00CD490C" w:rsidRPr="00CD4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3B3"/>
    <w:multiLevelType w:val="hybridMultilevel"/>
    <w:tmpl w:val="9AB451BE"/>
    <w:lvl w:ilvl="0" w:tplc="EA3ED5D4">
      <w:start w:val="1"/>
      <w:numFmt w:val="decimal"/>
      <w:pStyle w:val="3"/>
      <w:lvlText w:val="%1."/>
      <w:lvlJc w:val="left"/>
      <w:pPr>
        <w:ind w:left="520" w:hanging="420"/>
      </w:pPr>
    </w:lvl>
    <w:lvl w:ilvl="1" w:tplc="75EC55B6">
      <w:start w:val="1"/>
      <w:numFmt w:val="lowerLetter"/>
      <w:lvlText w:val="%2)"/>
      <w:lvlJc w:val="left"/>
      <w:pPr>
        <w:ind w:left="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1" w15:restartNumberingAfterBreak="0">
    <w:nsid w:val="13EA2814"/>
    <w:multiLevelType w:val="hybridMultilevel"/>
    <w:tmpl w:val="6868C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FB1234"/>
    <w:multiLevelType w:val="hybridMultilevel"/>
    <w:tmpl w:val="EB6C2C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0D40F0"/>
    <w:multiLevelType w:val="hybridMultilevel"/>
    <w:tmpl w:val="00DC69F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3385C42"/>
    <w:multiLevelType w:val="hybridMultilevel"/>
    <w:tmpl w:val="12B8739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8BB56A6"/>
    <w:multiLevelType w:val="hybridMultilevel"/>
    <w:tmpl w:val="7704598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F2068DB"/>
    <w:multiLevelType w:val="hybridMultilevel"/>
    <w:tmpl w:val="BDFABA88"/>
    <w:lvl w:ilvl="0" w:tplc="C062F0D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1830B3E"/>
    <w:multiLevelType w:val="hybridMultilevel"/>
    <w:tmpl w:val="FAF050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A64357C"/>
    <w:multiLevelType w:val="hybridMultilevel"/>
    <w:tmpl w:val="44AAB1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897D1F"/>
    <w:multiLevelType w:val="hybridMultilevel"/>
    <w:tmpl w:val="18028BF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BBF78B3"/>
    <w:multiLevelType w:val="hybridMultilevel"/>
    <w:tmpl w:val="56EAA104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5BD55652"/>
    <w:multiLevelType w:val="hybridMultilevel"/>
    <w:tmpl w:val="9530BF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E856F1D"/>
    <w:multiLevelType w:val="hybridMultilevel"/>
    <w:tmpl w:val="F6688B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80" w:hanging="42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16E7BDB"/>
    <w:multiLevelType w:val="hybridMultilevel"/>
    <w:tmpl w:val="8C1462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58D1F0F"/>
    <w:multiLevelType w:val="hybridMultilevel"/>
    <w:tmpl w:val="70ACE3D4"/>
    <w:lvl w:ilvl="0" w:tplc="E2125010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5861CB"/>
    <w:multiLevelType w:val="hybridMultilevel"/>
    <w:tmpl w:val="10D28B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7EF0AFA"/>
    <w:multiLevelType w:val="hybridMultilevel"/>
    <w:tmpl w:val="AE0202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EE069B6"/>
    <w:multiLevelType w:val="hybridMultilevel"/>
    <w:tmpl w:val="5BAC2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0D973B3"/>
    <w:multiLevelType w:val="hybridMultilevel"/>
    <w:tmpl w:val="E30E38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14C512C"/>
    <w:multiLevelType w:val="hybridMultilevel"/>
    <w:tmpl w:val="75FA6A9A"/>
    <w:lvl w:ilvl="0" w:tplc="0409000B">
      <w:start w:val="1"/>
      <w:numFmt w:val="bullet"/>
      <w:lvlText w:val="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0" w15:restartNumberingAfterBreak="0">
    <w:nsid w:val="725C11BB"/>
    <w:multiLevelType w:val="hybridMultilevel"/>
    <w:tmpl w:val="2E4A34A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79D10E7"/>
    <w:multiLevelType w:val="hybridMultilevel"/>
    <w:tmpl w:val="37C034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3E2F38"/>
    <w:multiLevelType w:val="hybridMultilevel"/>
    <w:tmpl w:val="79262CC2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3" w15:restartNumberingAfterBreak="0">
    <w:nsid w:val="7D6A1B43"/>
    <w:multiLevelType w:val="hybridMultilevel"/>
    <w:tmpl w:val="3CF61FF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16"/>
  </w:num>
  <w:num w:numId="5">
    <w:abstractNumId w:val="21"/>
  </w:num>
  <w:num w:numId="6">
    <w:abstractNumId w:val="15"/>
  </w:num>
  <w:num w:numId="7">
    <w:abstractNumId w:val="8"/>
  </w:num>
  <w:num w:numId="8">
    <w:abstractNumId w:val="13"/>
  </w:num>
  <w:num w:numId="9">
    <w:abstractNumId w:val="12"/>
  </w:num>
  <w:num w:numId="10">
    <w:abstractNumId w:val="0"/>
  </w:num>
  <w:num w:numId="11">
    <w:abstractNumId w:val="2"/>
  </w:num>
  <w:num w:numId="12">
    <w:abstractNumId w:val="9"/>
  </w:num>
  <w:num w:numId="13">
    <w:abstractNumId w:val="7"/>
  </w:num>
  <w:num w:numId="14">
    <w:abstractNumId w:val="20"/>
  </w:num>
  <w:num w:numId="15">
    <w:abstractNumId w:val="1"/>
  </w:num>
  <w:num w:numId="16">
    <w:abstractNumId w:val="17"/>
  </w:num>
  <w:num w:numId="17">
    <w:abstractNumId w:val="11"/>
  </w:num>
  <w:num w:numId="18">
    <w:abstractNumId w:val="22"/>
  </w:num>
  <w:num w:numId="19">
    <w:abstractNumId w:val="18"/>
  </w:num>
  <w:num w:numId="20">
    <w:abstractNumId w:val="10"/>
  </w:num>
  <w:num w:numId="21">
    <w:abstractNumId w:val="4"/>
  </w:num>
  <w:num w:numId="22">
    <w:abstractNumId w:val="3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D1"/>
    <w:rsid w:val="00045114"/>
    <w:rsid w:val="0006102C"/>
    <w:rsid w:val="00061D28"/>
    <w:rsid w:val="000E5BD9"/>
    <w:rsid w:val="000E77D6"/>
    <w:rsid w:val="00193202"/>
    <w:rsid w:val="001F4FA7"/>
    <w:rsid w:val="00232C48"/>
    <w:rsid w:val="00257512"/>
    <w:rsid w:val="00266104"/>
    <w:rsid w:val="0028015D"/>
    <w:rsid w:val="002823CB"/>
    <w:rsid w:val="00286B7B"/>
    <w:rsid w:val="002934AD"/>
    <w:rsid w:val="002A02DC"/>
    <w:rsid w:val="002E329A"/>
    <w:rsid w:val="003E5F0E"/>
    <w:rsid w:val="004B639A"/>
    <w:rsid w:val="00530491"/>
    <w:rsid w:val="00535A37"/>
    <w:rsid w:val="0057768C"/>
    <w:rsid w:val="005C128D"/>
    <w:rsid w:val="005F5603"/>
    <w:rsid w:val="00615927"/>
    <w:rsid w:val="00622211"/>
    <w:rsid w:val="00686587"/>
    <w:rsid w:val="00690C7D"/>
    <w:rsid w:val="006D0811"/>
    <w:rsid w:val="006F4E53"/>
    <w:rsid w:val="007275F2"/>
    <w:rsid w:val="007C7B15"/>
    <w:rsid w:val="00824902"/>
    <w:rsid w:val="00830E88"/>
    <w:rsid w:val="00846753"/>
    <w:rsid w:val="008B2CF1"/>
    <w:rsid w:val="008D2518"/>
    <w:rsid w:val="008F365A"/>
    <w:rsid w:val="00912C04"/>
    <w:rsid w:val="00932803"/>
    <w:rsid w:val="00994B00"/>
    <w:rsid w:val="009B041B"/>
    <w:rsid w:val="009D1165"/>
    <w:rsid w:val="009F27D4"/>
    <w:rsid w:val="00A030D0"/>
    <w:rsid w:val="00A06016"/>
    <w:rsid w:val="00A5371B"/>
    <w:rsid w:val="00A553EB"/>
    <w:rsid w:val="00A668EC"/>
    <w:rsid w:val="00B306B1"/>
    <w:rsid w:val="00B47E71"/>
    <w:rsid w:val="00B60CBF"/>
    <w:rsid w:val="00B84160"/>
    <w:rsid w:val="00BC48B2"/>
    <w:rsid w:val="00BF7E02"/>
    <w:rsid w:val="00C25742"/>
    <w:rsid w:val="00C47DD4"/>
    <w:rsid w:val="00C97A98"/>
    <w:rsid w:val="00CD490C"/>
    <w:rsid w:val="00CE592E"/>
    <w:rsid w:val="00D077F6"/>
    <w:rsid w:val="00D57132"/>
    <w:rsid w:val="00D97E31"/>
    <w:rsid w:val="00DD6EEF"/>
    <w:rsid w:val="00DE2842"/>
    <w:rsid w:val="00DF325B"/>
    <w:rsid w:val="00E05115"/>
    <w:rsid w:val="00E77F84"/>
    <w:rsid w:val="00E92987"/>
    <w:rsid w:val="00EB39D1"/>
    <w:rsid w:val="00EF494A"/>
    <w:rsid w:val="00F109F4"/>
    <w:rsid w:val="00F75440"/>
    <w:rsid w:val="00F766CE"/>
    <w:rsid w:val="00FA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A50C"/>
  <w15:chartTrackingRefBased/>
  <w15:docId w15:val="{4B3BEE78-00A3-473E-BD84-710DC14F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491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75440"/>
    <w:pPr>
      <w:keepNext/>
      <w:keepLines/>
      <w:spacing w:before="120" w:after="120" w:line="240" w:lineRule="atLeast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491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1165"/>
    <w:pPr>
      <w:keepNext/>
      <w:keepLines/>
      <w:numPr>
        <w:numId w:val="10"/>
      </w:numPr>
      <w:ind w:leftChars="100" w:left="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0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0491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D1165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F75440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4">
    <w:name w:val="Placeholder Text"/>
    <w:basedOn w:val="a0"/>
    <w:uiPriority w:val="99"/>
    <w:semiHidden/>
    <w:rsid w:val="00D57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1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真</dc:creator>
  <cp:keywords/>
  <dc:description/>
  <cp:lastModifiedBy>龙 真</cp:lastModifiedBy>
  <cp:revision>12</cp:revision>
  <dcterms:created xsi:type="dcterms:W3CDTF">2020-06-27T00:53:00Z</dcterms:created>
  <dcterms:modified xsi:type="dcterms:W3CDTF">2020-07-04T05:47:00Z</dcterms:modified>
</cp:coreProperties>
</file>