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9145" w14:textId="5071C053" w:rsidR="00EB39D1" w:rsidRPr="00E711AF" w:rsidRDefault="004221AB" w:rsidP="00E711AF">
      <w:pPr>
        <w:pStyle w:val="1"/>
        <w:spacing w:line="288" w:lineRule="auto"/>
      </w:pPr>
      <w:r w:rsidRPr="00E711AF">
        <w:t>Does earnings growth drive the quality premium</w:t>
      </w:r>
      <w:r w:rsidR="006505DF">
        <w:rPr>
          <w:rFonts w:hint="eastAsia"/>
        </w:rPr>
        <w:t>？</w:t>
      </w:r>
    </w:p>
    <w:p w14:paraId="03CC97B9" w14:textId="09AF5CD0" w:rsidR="00932803" w:rsidRPr="00E711AF" w:rsidRDefault="004221AB" w:rsidP="00E711AF">
      <w:pPr>
        <w:spacing w:line="288" w:lineRule="auto"/>
        <w:jc w:val="center"/>
      </w:pPr>
      <w:r w:rsidRPr="00E711AF">
        <w:t>Journal of Banking and Finance 2020</w:t>
      </w:r>
    </w:p>
    <w:p w14:paraId="278847E5" w14:textId="5A63B4DD" w:rsidR="004221AB" w:rsidRPr="00E711AF" w:rsidRDefault="004221AB" w:rsidP="00E711AF">
      <w:pPr>
        <w:spacing w:line="288" w:lineRule="auto"/>
        <w:jc w:val="center"/>
      </w:pPr>
      <w:r w:rsidRPr="00E711AF">
        <w:t>Georgi Kyosev</w:t>
      </w:r>
      <w:r w:rsidR="00541E66" w:rsidRPr="00E711AF">
        <w:rPr>
          <w:rFonts w:hint="eastAsia"/>
        </w:rPr>
        <w:t>,</w:t>
      </w:r>
      <w:r w:rsidR="00541E66" w:rsidRPr="00E711AF">
        <w:t xml:space="preserve"> </w:t>
      </w:r>
      <w:r w:rsidRPr="00E711AF">
        <w:t>Matthias X. Hanauer, Joop Huij, Simon Lansdorp</w:t>
      </w:r>
    </w:p>
    <w:p w14:paraId="497B8B18" w14:textId="6C07DC63" w:rsidR="00932803" w:rsidRPr="00E711AF" w:rsidRDefault="004221AB" w:rsidP="00E711AF">
      <w:pPr>
        <w:pStyle w:val="2"/>
        <w:spacing w:line="288" w:lineRule="auto"/>
      </w:pPr>
      <w:r w:rsidRPr="00E711AF">
        <w:t>1</w:t>
      </w:r>
      <w:r w:rsidRPr="00E711AF">
        <w:rPr>
          <w:rFonts w:hint="eastAsia"/>
        </w:rPr>
        <w:t>、</w:t>
      </w:r>
      <w:r w:rsidR="00932803" w:rsidRPr="00E711AF">
        <w:t>Introduction</w:t>
      </w:r>
    </w:p>
    <w:p w14:paraId="61A4E158" w14:textId="77777777" w:rsidR="00530491" w:rsidRPr="00E711AF" w:rsidRDefault="00932803" w:rsidP="00E711AF">
      <w:pPr>
        <w:pStyle w:val="3"/>
        <w:numPr>
          <w:ilvl w:val="0"/>
          <w:numId w:val="0"/>
        </w:numPr>
        <w:spacing w:line="288" w:lineRule="auto"/>
        <w:ind w:right="240"/>
      </w:pPr>
      <w:r w:rsidRPr="00E711AF">
        <w:t>Background</w:t>
      </w:r>
    </w:p>
    <w:p w14:paraId="666C6AA0" w14:textId="4199735B" w:rsidR="003A2D95" w:rsidRPr="00E711AF" w:rsidRDefault="003A2D95" w:rsidP="00E711AF">
      <w:pPr>
        <w:pStyle w:val="a3"/>
        <w:numPr>
          <w:ilvl w:val="0"/>
          <w:numId w:val="12"/>
        </w:numPr>
        <w:spacing w:line="288" w:lineRule="auto"/>
        <w:ind w:firstLineChars="0"/>
      </w:pPr>
      <w:r w:rsidRPr="00E711AF">
        <w:rPr>
          <w:noProof/>
        </w:rPr>
        <w:t>More recently, a range of accounting-based factors (see, e.g., Haugen and Baker, 1996 ; Sloan, 1996 ; Cooper et al., 2008 ; Novy-Marx, 2013 ) have been documented to have predictive power for future stock returns and beyond their expected returns based on betas, market sizes, valuations, and momentum.</w:t>
      </w:r>
    </w:p>
    <w:p w14:paraId="12D75EAA" w14:textId="7BC672A5" w:rsidR="00071F4D" w:rsidRPr="00E711AF" w:rsidRDefault="00071F4D" w:rsidP="00E711AF">
      <w:pPr>
        <w:pStyle w:val="a3"/>
        <w:numPr>
          <w:ilvl w:val="0"/>
          <w:numId w:val="12"/>
        </w:numPr>
        <w:spacing w:line="288" w:lineRule="auto"/>
        <w:ind w:firstLineChars="0"/>
        <w:rPr>
          <w:noProof/>
        </w:rPr>
      </w:pPr>
      <w:r w:rsidRPr="00E711AF">
        <w:rPr>
          <w:noProof/>
        </w:rPr>
        <w:t>Because these accounting-based variables are often seen as important determinants for investors’ perception of firm quality (see, e.g., McGuire et al., 1990 ; Asness et al., 2019 ; Trammell, 2014 ), they are also referred to as quality variables.</w:t>
      </w:r>
    </w:p>
    <w:p w14:paraId="2FDD1CF9" w14:textId="1D66FBD2" w:rsidR="00932803" w:rsidRPr="00E711AF" w:rsidRDefault="00932803" w:rsidP="00E711AF">
      <w:pPr>
        <w:pStyle w:val="3"/>
        <w:numPr>
          <w:ilvl w:val="0"/>
          <w:numId w:val="0"/>
        </w:numPr>
        <w:spacing w:line="288" w:lineRule="auto"/>
        <w:ind w:right="240"/>
      </w:pPr>
      <w:r w:rsidRPr="00E711AF">
        <w:t>Motivation</w:t>
      </w:r>
    </w:p>
    <w:p w14:paraId="7607F3E4" w14:textId="4EB02488" w:rsidR="001521C2" w:rsidRPr="00E711AF" w:rsidRDefault="001521C2" w:rsidP="00E711AF">
      <w:pPr>
        <w:pStyle w:val="a3"/>
        <w:numPr>
          <w:ilvl w:val="0"/>
          <w:numId w:val="12"/>
        </w:numPr>
        <w:spacing w:line="288" w:lineRule="auto"/>
        <w:ind w:firstLineChars="0"/>
      </w:pPr>
      <w:r w:rsidRPr="00E711AF">
        <w:t>A notable observation regarding these accounting-based (quality) factors is the lack of a common element (apart from all of them being derived from accounting statements).</w:t>
      </w:r>
    </w:p>
    <w:p w14:paraId="21C121B0" w14:textId="2691DFFE" w:rsidR="000E77D6" w:rsidRPr="00E711AF" w:rsidRDefault="001521C2" w:rsidP="00E711AF">
      <w:pPr>
        <w:pStyle w:val="a3"/>
        <w:numPr>
          <w:ilvl w:val="0"/>
          <w:numId w:val="12"/>
        </w:numPr>
        <w:spacing w:line="288" w:lineRule="auto"/>
        <w:ind w:firstLineChars="0"/>
      </w:pPr>
      <w:r w:rsidRPr="00E711AF">
        <w:rPr>
          <w:rFonts w:hint="eastAsia"/>
        </w:rPr>
        <w:t>T</w:t>
      </w:r>
      <w:r w:rsidRPr="00E711AF">
        <w:t>here is no study which explains why some quality measures systematically work better than others.</w:t>
      </w:r>
    </w:p>
    <w:p w14:paraId="7A3A87D6" w14:textId="05E3DE03" w:rsidR="00932803" w:rsidRPr="00E711AF" w:rsidRDefault="001E6E14" w:rsidP="00E711AF">
      <w:pPr>
        <w:pStyle w:val="3"/>
        <w:numPr>
          <w:ilvl w:val="0"/>
          <w:numId w:val="0"/>
        </w:numPr>
        <w:spacing w:line="288" w:lineRule="auto"/>
        <w:ind w:right="240"/>
      </w:pPr>
      <w:r w:rsidRPr="00E711AF">
        <w:t>Research question</w:t>
      </w:r>
    </w:p>
    <w:p w14:paraId="348CAD8B" w14:textId="3501537C" w:rsidR="00E92987" w:rsidRPr="00E711AF" w:rsidRDefault="002935DA" w:rsidP="00E711AF">
      <w:pPr>
        <w:pStyle w:val="a3"/>
        <w:numPr>
          <w:ilvl w:val="0"/>
          <w:numId w:val="17"/>
        </w:numPr>
        <w:spacing w:line="288" w:lineRule="auto"/>
        <w:ind w:firstLineChars="0"/>
      </w:pPr>
      <w:r w:rsidRPr="00E711AF">
        <w:t xml:space="preserve">Why quality measures predict future stock </w:t>
      </w:r>
      <w:proofErr w:type="gramStart"/>
      <w:r w:rsidRPr="00E711AF">
        <w:t>returns</w:t>
      </w:r>
      <w:r w:rsidR="00D75AEE">
        <w:t xml:space="preserve"> </w:t>
      </w:r>
      <w:r w:rsidRPr="00E711AF">
        <w:t>?</w:t>
      </w:r>
      <w:proofErr w:type="gramEnd"/>
    </w:p>
    <w:p w14:paraId="4D13F659" w14:textId="0EEC8B53" w:rsidR="002968D9" w:rsidRPr="00E711AF" w:rsidRDefault="002935DA" w:rsidP="00E711AF">
      <w:pPr>
        <w:pStyle w:val="a3"/>
        <w:numPr>
          <w:ilvl w:val="0"/>
          <w:numId w:val="17"/>
        </w:numPr>
        <w:spacing w:line="288" w:lineRule="auto"/>
        <w:ind w:firstLineChars="0"/>
      </w:pPr>
      <w:r w:rsidRPr="00E711AF">
        <w:t xml:space="preserve">Why some quality measures systematically work better than </w:t>
      </w:r>
      <w:proofErr w:type="gramStart"/>
      <w:r w:rsidRPr="00E711AF">
        <w:t>others</w:t>
      </w:r>
      <w:r w:rsidR="00D75AEE">
        <w:t xml:space="preserve"> </w:t>
      </w:r>
      <w:r w:rsidR="002968D9" w:rsidRPr="00E711AF">
        <w:t>?</w:t>
      </w:r>
      <w:proofErr w:type="gramEnd"/>
    </w:p>
    <w:p w14:paraId="130E18D7" w14:textId="23A9A960" w:rsidR="00C25742" w:rsidRPr="00E711AF" w:rsidRDefault="002968D9" w:rsidP="00E711AF">
      <w:pPr>
        <w:pStyle w:val="a3"/>
        <w:numPr>
          <w:ilvl w:val="0"/>
          <w:numId w:val="17"/>
        </w:numPr>
        <w:spacing w:line="288" w:lineRule="auto"/>
        <w:ind w:firstLineChars="0"/>
      </w:pPr>
      <w:r w:rsidRPr="00E711AF">
        <w:t xml:space="preserve">Whether the quality premium can be observed in other markets than the U.S. stock market as </w:t>
      </w:r>
      <w:proofErr w:type="gramStart"/>
      <w:r w:rsidRPr="00E711AF">
        <w:t>well</w:t>
      </w:r>
      <w:r w:rsidR="00D75AEE">
        <w:t xml:space="preserve"> </w:t>
      </w:r>
      <w:r w:rsidRPr="00E711AF">
        <w:t>?</w:t>
      </w:r>
      <w:proofErr w:type="gramEnd"/>
      <w:r w:rsidR="00045114" w:rsidRPr="00E711AF">
        <w:t xml:space="preserve"> </w:t>
      </w:r>
    </w:p>
    <w:p w14:paraId="31D35740" w14:textId="242647C0" w:rsidR="00711221" w:rsidRPr="00E711AF" w:rsidRDefault="00711221" w:rsidP="00E711AF">
      <w:pPr>
        <w:pStyle w:val="3"/>
        <w:numPr>
          <w:ilvl w:val="0"/>
          <w:numId w:val="0"/>
        </w:numPr>
        <w:spacing w:line="288" w:lineRule="auto"/>
        <w:ind w:right="240"/>
      </w:pPr>
      <w:r w:rsidRPr="00E711AF">
        <w:t>Related researches</w:t>
      </w:r>
    </w:p>
    <w:p w14:paraId="6B9B5322" w14:textId="01488757" w:rsidR="00711221" w:rsidRPr="00E711AF" w:rsidRDefault="00711221" w:rsidP="00E711AF">
      <w:pPr>
        <w:pStyle w:val="a3"/>
        <w:numPr>
          <w:ilvl w:val="0"/>
          <w:numId w:val="17"/>
        </w:numPr>
        <w:spacing w:line="288" w:lineRule="auto"/>
        <w:ind w:firstLineChars="0"/>
      </w:pPr>
      <w:r w:rsidRPr="00E711AF">
        <w:t>Sloan (1996) already shows that accruals are negatively related to future earnings and that higher accruals predict lower stock returns.</w:t>
      </w:r>
    </w:p>
    <w:p w14:paraId="20505AC5" w14:textId="205BEAB9" w:rsidR="00711221" w:rsidRPr="00E711AF" w:rsidRDefault="00711221" w:rsidP="00E711AF">
      <w:pPr>
        <w:pStyle w:val="a3"/>
        <w:numPr>
          <w:ilvl w:val="0"/>
          <w:numId w:val="17"/>
        </w:numPr>
        <w:spacing w:line="288" w:lineRule="auto"/>
        <w:ind w:firstLineChars="0"/>
      </w:pPr>
      <w:r w:rsidRPr="00E711AF">
        <w:t>Haugen and Baker (1996) assume that currently profitable firms have greater potential for future growth and document that ROE is positively correlated with future re-turns.</w:t>
      </w:r>
    </w:p>
    <w:p w14:paraId="67F9B917" w14:textId="567CB6B2" w:rsidR="00711221" w:rsidRPr="00E711AF" w:rsidRDefault="00711221" w:rsidP="00E711AF">
      <w:pPr>
        <w:pStyle w:val="a3"/>
        <w:numPr>
          <w:ilvl w:val="0"/>
          <w:numId w:val="17"/>
        </w:numPr>
        <w:spacing w:line="288" w:lineRule="auto"/>
        <w:ind w:firstLineChars="0"/>
      </w:pPr>
      <w:r w:rsidRPr="00E711AF">
        <w:t>Cooper et al. (2008) find that a general measure of investments (total asset growth) is negatively correlated with future returns.</w:t>
      </w:r>
    </w:p>
    <w:p w14:paraId="0252410A" w14:textId="77777777" w:rsidR="00711221" w:rsidRPr="00E711AF" w:rsidRDefault="00711221" w:rsidP="00E711AF">
      <w:pPr>
        <w:pStyle w:val="3"/>
        <w:numPr>
          <w:ilvl w:val="0"/>
          <w:numId w:val="0"/>
        </w:numPr>
        <w:spacing w:line="288" w:lineRule="auto"/>
        <w:ind w:right="240"/>
      </w:pPr>
      <w:r w:rsidRPr="00E711AF">
        <w:t>Research Contents</w:t>
      </w:r>
    </w:p>
    <w:p w14:paraId="2FC4B321" w14:textId="1E603B32" w:rsidR="00344DF2" w:rsidRPr="00E711AF" w:rsidRDefault="00E711AF" w:rsidP="00E711AF">
      <w:pPr>
        <w:pStyle w:val="a3"/>
        <w:numPr>
          <w:ilvl w:val="0"/>
          <w:numId w:val="17"/>
        </w:numPr>
        <w:spacing w:line="288" w:lineRule="auto"/>
        <w:ind w:firstLineChars="0"/>
      </w:pPr>
      <w:r>
        <w:rPr>
          <w:rFonts w:hint="eastAsia"/>
        </w:rPr>
        <w:t>W</w:t>
      </w:r>
      <w:r w:rsidR="00711221" w:rsidRPr="00E711AF">
        <w:t xml:space="preserve">e conduct a set of empirical tests to shed more light on the common quality indicators. </w:t>
      </w:r>
    </w:p>
    <w:p w14:paraId="5B65804C" w14:textId="77777777" w:rsidR="00344DF2" w:rsidRPr="00E711AF" w:rsidRDefault="00711221" w:rsidP="00E711AF">
      <w:pPr>
        <w:pStyle w:val="a3"/>
        <w:numPr>
          <w:ilvl w:val="0"/>
          <w:numId w:val="17"/>
        </w:numPr>
        <w:spacing w:line="288" w:lineRule="auto"/>
        <w:ind w:firstLineChars="0"/>
      </w:pPr>
      <w:r w:rsidRPr="00E711AF">
        <w:lastRenderedPageBreak/>
        <w:t xml:space="preserve">First, we test which ones have predictive power for future earnings growth. </w:t>
      </w:r>
    </w:p>
    <w:p w14:paraId="5CD14FB2" w14:textId="2C56D487" w:rsidR="00344DF2" w:rsidRPr="00E711AF" w:rsidRDefault="00E711AF" w:rsidP="00E711AF">
      <w:pPr>
        <w:pStyle w:val="a3"/>
        <w:numPr>
          <w:ilvl w:val="0"/>
          <w:numId w:val="17"/>
        </w:numPr>
        <w:spacing w:line="288" w:lineRule="auto"/>
        <w:ind w:firstLineChars="0"/>
      </w:pPr>
      <w:r w:rsidRPr="00E711AF">
        <w:t>Second</w:t>
      </w:r>
      <w:r w:rsidR="00711221" w:rsidRPr="00E711AF">
        <w:t xml:space="preserve">, we create two competing quality strategies – the earnings predictive quality variables and the earnings non-predictive quality </w:t>
      </w:r>
      <w:proofErr w:type="gramStart"/>
      <w:r w:rsidR="00711221" w:rsidRPr="00E711AF">
        <w:t>variables .</w:t>
      </w:r>
      <w:proofErr w:type="gramEnd"/>
      <w:r w:rsidR="00711221" w:rsidRPr="00E711AF">
        <w:t xml:space="preserve"> </w:t>
      </w:r>
    </w:p>
    <w:p w14:paraId="30759BFE" w14:textId="007DAD3A" w:rsidR="00344DF2" w:rsidRPr="00E711AF" w:rsidRDefault="00E711AF" w:rsidP="00E711AF">
      <w:pPr>
        <w:pStyle w:val="a3"/>
        <w:numPr>
          <w:ilvl w:val="0"/>
          <w:numId w:val="17"/>
        </w:numPr>
        <w:spacing w:line="288" w:lineRule="auto"/>
        <w:ind w:firstLineChars="0"/>
      </w:pPr>
      <w:r w:rsidRPr="00E711AF">
        <w:t>Third</w:t>
      </w:r>
      <w:r w:rsidR="00711221" w:rsidRPr="00E711AF">
        <w:t xml:space="preserve">, we test if there is a causal relation between the quality premium and distress risk. </w:t>
      </w:r>
    </w:p>
    <w:p w14:paraId="11A7E873" w14:textId="5C263681" w:rsidR="00711221" w:rsidRPr="00E711AF" w:rsidRDefault="00711221" w:rsidP="00E711AF">
      <w:pPr>
        <w:pStyle w:val="a3"/>
        <w:numPr>
          <w:ilvl w:val="0"/>
          <w:numId w:val="17"/>
        </w:numPr>
        <w:spacing w:line="288" w:lineRule="auto"/>
        <w:ind w:firstLineChars="0"/>
      </w:pPr>
      <w:r w:rsidRPr="00E711AF">
        <w:t>In addition, we conduct regional analyses to test if our global results are a manifestation of systematic regional allocation bets</w:t>
      </w:r>
      <w:r w:rsidR="00E711AF">
        <w:t>.</w:t>
      </w:r>
    </w:p>
    <w:p w14:paraId="4ECEAED8" w14:textId="04E6050A" w:rsidR="00232C48" w:rsidRPr="00E711AF" w:rsidRDefault="00932803" w:rsidP="00E711AF">
      <w:pPr>
        <w:pStyle w:val="3"/>
        <w:numPr>
          <w:ilvl w:val="0"/>
          <w:numId w:val="0"/>
        </w:numPr>
        <w:spacing w:line="288" w:lineRule="auto"/>
        <w:ind w:right="240"/>
      </w:pPr>
      <w:r w:rsidRPr="00E711AF">
        <w:t>Contribution</w:t>
      </w:r>
    </w:p>
    <w:p w14:paraId="1C8A994D" w14:textId="2E9AB0B9" w:rsidR="00286B7B" w:rsidRPr="00E711AF" w:rsidRDefault="006D2A00" w:rsidP="00E711AF">
      <w:pPr>
        <w:pStyle w:val="a3"/>
        <w:numPr>
          <w:ilvl w:val="0"/>
          <w:numId w:val="19"/>
        </w:numPr>
        <w:spacing w:line="288" w:lineRule="auto"/>
        <w:ind w:firstLineChars="0"/>
      </w:pPr>
      <w:r w:rsidRPr="00E711AF">
        <w:t>The main contribution of our study is that we provide empirical evidence that the predictive power of quality variables for the cross-section of stock returns originates from the variables being good proxies for future earnings growth.</w:t>
      </w:r>
    </w:p>
    <w:p w14:paraId="5CB9C6DF" w14:textId="77CE1EE5" w:rsidR="00932803" w:rsidRPr="00E711AF" w:rsidRDefault="003A2D95" w:rsidP="00E711AF">
      <w:pPr>
        <w:pStyle w:val="2"/>
        <w:spacing w:line="288" w:lineRule="auto"/>
      </w:pPr>
      <w:r w:rsidRPr="00E711AF">
        <w:t>2</w:t>
      </w:r>
      <w:r w:rsidRPr="00E711AF">
        <w:rPr>
          <w:rFonts w:hint="eastAsia"/>
        </w:rPr>
        <w:t>、</w:t>
      </w:r>
      <w:r w:rsidR="00932803" w:rsidRPr="00E711AF">
        <w:rPr>
          <w:rFonts w:hint="eastAsia"/>
        </w:rPr>
        <w:t>R</w:t>
      </w:r>
      <w:r w:rsidR="00932803" w:rsidRPr="00E711AF">
        <w:t>esearch Design</w:t>
      </w:r>
    </w:p>
    <w:p w14:paraId="1D7739E5" w14:textId="0EF522EB" w:rsidR="005A758A" w:rsidRPr="00E711AF" w:rsidRDefault="005A758A" w:rsidP="005A758A">
      <w:pPr>
        <w:spacing w:line="288" w:lineRule="auto"/>
      </w:pPr>
      <w:r>
        <w:rPr>
          <w:noProof/>
        </w:rPr>
        <w:drawing>
          <wp:inline distT="0" distB="0" distL="0" distR="0" wp14:anchorId="6D494F69" wp14:editId="30785845">
            <wp:extent cx="5082980" cy="3993226"/>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980" cy="3993226"/>
                    </a:xfrm>
                    <a:prstGeom prst="rect">
                      <a:avLst/>
                    </a:prstGeom>
                  </pic:spPr>
                </pic:pic>
              </a:graphicData>
            </a:graphic>
          </wp:inline>
        </w:drawing>
      </w:r>
    </w:p>
    <w:p w14:paraId="39842543" w14:textId="708E885B" w:rsidR="00167A04" w:rsidRPr="00E711AF" w:rsidRDefault="00167A04" w:rsidP="00E711AF">
      <w:pPr>
        <w:pStyle w:val="3"/>
        <w:numPr>
          <w:ilvl w:val="0"/>
          <w:numId w:val="0"/>
        </w:numPr>
        <w:spacing w:line="288" w:lineRule="auto"/>
        <w:ind w:right="240"/>
      </w:pPr>
      <w:r w:rsidRPr="00E711AF">
        <w:lastRenderedPageBreak/>
        <w:t>Variable</w:t>
      </w:r>
    </w:p>
    <w:p w14:paraId="0ED4C7DD" w14:textId="164C8BE1" w:rsidR="00167A04" w:rsidRPr="00E711AF" w:rsidRDefault="00167A04" w:rsidP="00E711AF">
      <w:pPr>
        <w:spacing w:line="288" w:lineRule="auto"/>
      </w:pPr>
      <w:r w:rsidRPr="00E711AF">
        <w:rPr>
          <w:noProof/>
        </w:rPr>
        <w:drawing>
          <wp:inline distT="0" distB="0" distL="0" distR="0" wp14:anchorId="12B454AF" wp14:editId="1C61B2CF">
            <wp:extent cx="5281246" cy="4994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57" r="1750"/>
                    <a:stretch/>
                  </pic:blipFill>
                  <pic:spPr bwMode="auto">
                    <a:xfrm>
                      <a:off x="0" y="0"/>
                      <a:ext cx="5301107" cy="5013163"/>
                    </a:xfrm>
                    <a:prstGeom prst="rect">
                      <a:avLst/>
                    </a:prstGeom>
                    <a:ln>
                      <a:noFill/>
                    </a:ln>
                    <a:extLst>
                      <a:ext uri="{53640926-AAD7-44D8-BBD7-CCE9431645EC}">
                        <a14:shadowObscured xmlns:a14="http://schemas.microsoft.com/office/drawing/2010/main"/>
                      </a:ext>
                    </a:extLst>
                  </pic:spPr>
                </pic:pic>
              </a:graphicData>
            </a:graphic>
          </wp:inline>
        </w:drawing>
      </w:r>
    </w:p>
    <w:p w14:paraId="0976C128" w14:textId="0B626039" w:rsidR="0082024E" w:rsidRPr="00E711AF" w:rsidRDefault="0082024E" w:rsidP="00E711AF">
      <w:pPr>
        <w:pStyle w:val="3"/>
        <w:numPr>
          <w:ilvl w:val="0"/>
          <w:numId w:val="0"/>
        </w:numPr>
        <w:spacing w:line="288" w:lineRule="auto"/>
        <w:ind w:right="240"/>
      </w:pPr>
      <w:r w:rsidRPr="00E711AF">
        <w:t>Data</w:t>
      </w:r>
    </w:p>
    <w:p w14:paraId="2BDCBF6C" w14:textId="67C2BE09" w:rsidR="0082024E" w:rsidRPr="00E711AF" w:rsidRDefault="007A15B8" w:rsidP="00E711AF">
      <w:pPr>
        <w:pStyle w:val="a3"/>
        <w:numPr>
          <w:ilvl w:val="0"/>
          <w:numId w:val="19"/>
        </w:numPr>
        <w:spacing w:line="288" w:lineRule="auto"/>
        <w:ind w:firstLineChars="0"/>
      </w:pPr>
      <w:r w:rsidRPr="00E711AF">
        <w:t xml:space="preserve">Sample: </w:t>
      </w:r>
      <w:r w:rsidR="0082024E" w:rsidRPr="00E711AF">
        <w:t>all constituents of the FTSE World Developed Index and the S&amp;P/IFC Investable Emerging Markets Index</w:t>
      </w:r>
      <w:r w:rsidRPr="00E711AF">
        <w:rPr>
          <w:rFonts w:hint="eastAsia"/>
        </w:rPr>
        <w:t>.</w:t>
      </w:r>
      <w:r w:rsidRPr="00E711AF">
        <w:t xml:space="preserve"> exclud</w:t>
      </w:r>
      <w:r w:rsidR="00D75AEE">
        <w:t>ing</w:t>
      </w:r>
      <w:r w:rsidRPr="00E711AF">
        <w:t xml:space="preserve"> financial firms.</w:t>
      </w:r>
    </w:p>
    <w:p w14:paraId="34173CC3" w14:textId="79BD773B" w:rsidR="0082024E" w:rsidRPr="00E711AF" w:rsidRDefault="007A15B8" w:rsidP="00E711AF">
      <w:pPr>
        <w:pStyle w:val="a3"/>
        <w:numPr>
          <w:ilvl w:val="0"/>
          <w:numId w:val="19"/>
        </w:numPr>
        <w:spacing w:line="288" w:lineRule="auto"/>
        <w:ind w:firstLineChars="0"/>
      </w:pPr>
      <w:r w:rsidRPr="00E711AF">
        <w:t>Period</w:t>
      </w:r>
      <w:r w:rsidRPr="00E711AF">
        <w:rPr>
          <w:rFonts w:hint="eastAsia"/>
        </w:rPr>
        <w:t>：</w:t>
      </w:r>
      <w:r w:rsidR="0082024E" w:rsidRPr="00E711AF">
        <w:t>December 1985</w:t>
      </w:r>
      <w:r w:rsidR="0082024E" w:rsidRPr="00E711AF">
        <w:rPr>
          <w:rFonts w:hint="eastAsia"/>
        </w:rPr>
        <w:t xml:space="preserve"> to</w:t>
      </w:r>
      <w:r w:rsidR="0082024E" w:rsidRPr="00E711AF">
        <w:t xml:space="preserve"> December 2015.</w:t>
      </w:r>
    </w:p>
    <w:p w14:paraId="681166E5" w14:textId="16FF47B3" w:rsidR="007A15B8" w:rsidRPr="00E711AF" w:rsidRDefault="007A15B8" w:rsidP="00E711AF">
      <w:pPr>
        <w:pStyle w:val="a3"/>
        <w:numPr>
          <w:ilvl w:val="0"/>
          <w:numId w:val="19"/>
        </w:numPr>
        <w:spacing w:line="288" w:lineRule="auto"/>
        <w:ind w:firstLineChars="0"/>
      </w:pPr>
      <w:r w:rsidRPr="00E711AF">
        <w:t>data sources: Interactive Data Exshare, MSCI, Compustat, Worldscope</w:t>
      </w:r>
    </w:p>
    <w:p w14:paraId="29CA645E" w14:textId="52F65471" w:rsidR="00023214" w:rsidRPr="00E711AF" w:rsidRDefault="00D75AEE" w:rsidP="00447B53">
      <w:pPr>
        <w:pStyle w:val="3"/>
        <w:numPr>
          <w:ilvl w:val="0"/>
          <w:numId w:val="0"/>
        </w:numPr>
        <w:spacing w:line="288" w:lineRule="auto"/>
        <w:ind w:right="240"/>
      </w:pPr>
      <w:r>
        <w:t>M</w:t>
      </w:r>
      <w:r w:rsidR="00E320D8" w:rsidRPr="00E711AF">
        <w:t>ethod</w:t>
      </w:r>
    </w:p>
    <w:p w14:paraId="75294A96" w14:textId="0F6C925A" w:rsidR="00447B53" w:rsidRDefault="00D75AEE" w:rsidP="00E711AF">
      <w:pPr>
        <w:pStyle w:val="a3"/>
        <w:numPr>
          <w:ilvl w:val="0"/>
          <w:numId w:val="19"/>
        </w:numPr>
        <w:spacing w:line="288" w:lineRule="auto"/>
        <w:ind w:firstLineChars="0"/>
      </w:pPr>
      <w:r>
        <w:t>C</w:t>
      </w:r>
      <w:r w:rsidR="00023214" w:rsidRPr="00E711AF">
        <w:t>ross-sectional Fama and MacBeth</w:t>
      </w:r>
      <w:r w:rsidR="00C10F18" w:rsidRPr="00E711AF">
        <w:t xml:space="preserve"> </w:t>
      </w:r>
      <w:r w:rsidR="00023214" w:rsidRPr="00E711AF">
        <w:t>regressions</w:t>
      </w:r>
    </w:p>
    <w:p w14:paraId="3269D261" w14:textId="0A7747DF" w:rsidR="00023214" w:rsidRPr="00E711AF" w:rsidRDefault="00D75AEE" w:rsidP="00E711AF">
      <w:pPr>
        <w:pStyle w:val="a3"/>
        <w:numPr>
          <w:ilvl w:val="0"/>
          <w:numId w:val="19"/>
        </w:numPr>
        <w:spacing w:line="288" w:lineRule="auto"/>
        <w:ind w:firstLineChars="0"/>
      </w:pPr>
      <w:r>
        <w:t>S</w:t>
      </w:r>
      <w:r w:rsidR="00023214" w:rsidRPr="00E711AF">
        <w:t>orting stocks into portfolios based on quality variables</w:t>
      </w:r>
    </w:p>
    <w:p w14:paraId="119EF60F" w14:textId="77777777" w:rsidR="0082024E" w:rsidRPr="00E711AF" w:rsidRDefault="0082024E" w:rsidP="00E711AF">
      <w:pPr>
        <w:spacing w:line="288" w:lineRule="auto"/>
      </w:pPr>
    </w:p>
    <w:p w14:paraId="326A92C1" w14:textId="39580518" w:rsidR="00932803" w:rsidRPr="00E711AF" w:rsidRDefault="00EB0DCE" w:rsidP="00E711AF">
      <w:pPr>
        <w:pStyle w:val="2"/>
        <w:spacing w:line="288" w:lineRule="auto"/>
      </w:pPr>
      <w:r w:rsidRPr="00E711AF">
        <w:lastRenderedPageBreak/>
        <w:t>3</w:t>
      </w:r>
      <w:r w:rsidRPr="00E711AF">
        <w:rPr>
          <w:rFonts w:hint="eastAsia"/>
        </w:rPr>
        <w:t>、</w:t>
      </w:r>
      <w:r w:rsidR="00932803" w:rsidRPr="00E711AF">
        <w:rPr>
          <w:rFonts w:hint="eastAsia"/>
        </w:rPr>
        <w:t>E</w:t>
      </w:r>
      <w:r w:rsidR="00932803" w:rsidRPr="00E711AF">
        <w:t>mpirical Result</w:t>
      </w:r>
    </w:p>
    <w:p w14:paraId="00DA39E8" w14:textId="241BE061" w:rsidR="00686587" w:rsidRPr="00E711AF" w:rsidRDefault="00EB0DCE" w:rsidP="00E711AF">
      <w:pPr>
        <w:pStyle w:val="3"/>
        <w:numPr>
          <w:ilvl w:val="0"/>
          <w:numId w:val="0"/>
        </w:numPr>
        <w:spacing w:line="288" w:lineRule="auto"/>
        <w:ind w:right="240"/>
      </w:pPr>
      <w:r w:rsidRPr="00E711AF">
        <w:t>Quality and growth in future profitability</w:t>
      </w:r>
    </w:p>
    <w:p w14:paraId="6DD63200" w14:textId="3B2AFB58" w:rsidR="00686587" w:rsidRPr="00E711AF" w:rsidRDefault="00E80A27" w:rsidP="005A758A">
      <w:pPr>
        <w:spacing w:line="288" w:lineRule="auto"/>
      </w:pPr>
      <w:r>
        <w:rPr>
          <w:noProof/>
        </w:rPr>
        <w:drawing>
          <wp:inline distT="0" distB="0" distL="0" distR="0" wp14:anchorId="7AF92ED7" wp14:editId="293AC3C5">
            <wp:extent cx="5152292" cy="3104077"/>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5060" cy="3111769"/>
                    </a:xfrm>
                    <a:prstGeom prst="rect">
                      <a:avLst/>
                    </a:prstGeom>
                  </pic:spPr>
                </pic:pic>
              </a:graphicData>
            </a:graphic>
          </wp:inline>
        </w:drawing>
      </w:r>
    </w:p>
    <w:p w14:paraId="1DBCFD51" w14:textId="130CF921" w:rsidR="00936067" w:rsidRPr="00E711AF" w:rsidRDefault="00E711AF" w:rsidP="00E711AF">
      <w:pPr>
        <w:pStyle w:val="a3"/>
        <w:numPr>
          <w:ilvl w:val="0"/>
          <w:numId w:val="14"/>
        </w:numPr>
        <w:spacing w:line="288" w:lineRule="auto"/>
        <w:ind w:firstLineChars="0"/>
      </w:pPr>
      <w:r w:rsidRPr="00E711AF">
        <w:rPr>
          <w:rFonts w:hint="eastAsia"/>
        </w:rPr>
        <w:t>H</w:t>
      </w:r>
      <w:r w:rsidR="00936067" w:rsidRPr="00E711AF">
        <w:t>igh gross profitability, low accruals, and low investments positively predict future earnings growth, corrected for the expected sign, with coefficients 2.48 (t-stat 2.06), 34.59 (t-stat 8.25), and 5.85 (t-stat 3.88) respectively.</w:t>
      </w:r>
    </w:p>
    <w:p w14:paraId="51F489FA" w14:textId="03BE4E2E" w:rsidR="00936067" w:rsidRPr="00E711AF" w:rsidRDefault="00936067" w:rsidP="00E711AF">
      <w:pPr>
        <w:pStyle w:val="a3"/>
        <w:numPr>
          <w:ilvl w:val="0"/>
          <w:numId w:val="14"/>
        </w:numPr>
        <w:spacing w:line="288" w:lineRule="auto"/>
        <w:ind w:firstLineChars="0"/>
      </w:pPr>
      <w:r w:rsidRPr="00E711AF">
        <w:rPr>
          <w:rFonts w:hint="eastAsia"/>
        </w:rPr>
        <w:t>In a multiple regression framework</w:t>
      </w:r>
      <w:r w:rsidR="00D75AEE">
        <w:rPr>
          <w:rFonts w:hint="eastAsia"/>
        </w:rPr>
        <w:t>,</w:t>
      </w:r>
      <w:r w:rsidR="00D75AEE">
        <w:t xml:space="preserve"> g</w:t>
      </w:r>
      <w:r w:rsidRPr="00E711AF">
        <w:rPr>
          <w:rFonts w:hint="eastAsia"/>
        </w:rPr>
        <w:t>ross profitability, accruals, and investments correctly predict earnings growth across all horizons.</w:t>
      </w:r>
    </w:p>
    <w:p w14:paraId="0E1B5E71" w14:textId="77777777" w:rsidR="00936067" w:rsidRPr="00D75AEE" w:rsidRDefault="00936067" w:rsidP="00E711AF">
      <w:pPr>
        <w:pStyle w:val="a3"/>
        <w:spacing w:line="288" w:lineRule="auto"/>
        <w:ind w:left="840" w:firstLineChars="0" w:firstLine="0"/>
      </w:pPr>
    </w:p>
    <w:p w14:paraId="177A6F62" w14:textId="30A144C9" w:rsidR="00CE592E" w:rsidRPr="00E711AF" w:rsidRDefault="004C2155" w:rsidP="00E711AF">
      <w:pPr>
        <w:pStyle w:val="3"/>
        <w:numPr>
          <w:ilvl w:val="0"/>
          <w:numId w:val="0"/>
        </w:numPr>
        <w:spacing w:line="288" w:lineRule="auto"/>
        <w:ind w:right="240"/>
      </w:pPr>
      <w:r w:rsidRPr="00E711AF">
        <w:t>Quality and stock return</w:t>
      </w:r>
      <w:r w:rsidRPr="00E711AF">
        <w:rPr>
          <w:rFonts w:hint="eastAsia"/>
        </w:rPr>
        <w:t>s</w:t>
      </w:r>
    </w:p>
    <w:p w14:paraId="63A91802" w14:textId="47706F41" w:rsidR="00622211" w:rsidRPr="00E711AF" w:rsidRDefault="00E80A27" w:rsidP="00E711AF">
      <w:pPr>
        <w:spacing w:line="288" w:lineRule="auto"/>
      </w:pPr>
      <w:r>
        <w:rPr>
          <w:noProof/>
        </w:rPr>
        <w:drawing>
          <wp:inline distT="0" distB="0" distL="0" distR="0" wp14:anchorId="3F68F7DD" wp14:editId="3A031A04">
            <wp:extent cx="5416062" cy="31299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428" cy="3142840"/>
                    </a:xfrm>
                    <a:prstGeom prst="rect">
                      <a:avLst/>
                    </a:prstGeom>
                  </pic:spPr>
                </pic:pic>
              </a:graphicData>
            </a:graphic>
          </wp:inline>
        </w:drawing>
      </w:r>
    </w:p>
    <w:p w14:paraId="68A006D4" w14:textId="03C3266E" w:rsidR="004C2155" w:rsidRPr="00E711AF" w:rsidRDefault="00E711AF" w:rsidP="005A758A">
      <w:pPr>
        <w:spacing w:line="288" w:lineRule="auto"/>
        <w:ind w:firstLineChars="200" w:firstLine="480"/>
      </w:pPr>
      <w:r w:rsidRPr="00E711AF">
        <w:rPr>
          <w:rFonts w:hint="eastAsia"/>
        </w:rPr>
        <w:t>T</w:t>
      </w:r>
      <w:r w:rsidR="004C2155" w:rsidRPr="00E711AF">
        <w:t xml:space="preserve">he earnings predictive variables </w:t>
      </w:r>
      <w:r w:rsidR="005A758A">
        <w:t>(</w:t>
      </w:r>
      <w:r w:rsidR="004C2155" w:rsidRPr="00E711AF">
        <w:t>gross profitability, accruals, and investments</w:t>
      </w:r>
      <w:r w:rsidR="005A758A">
        <w:t>)</w:t>
      </w:r>
      <w:r w:rsidR="004C2155" w:rsidRPr="00E711AF">
        <w:t xml:space="preserve"> </w:t>
      </w:r>
      <w:r w:rsidR="004C2155" w:rsidRPr="00E711AF">
        <w:lastRenderedPageBreak/>
        <w:t xml:space="preserve">also have predictive power for stock returns </w:t>
      </w:r>
    </w:p>
    <w:p w14:paraId="32D6D327" w14:textId="77777777" w:rsidR="00477737" w:rsidRDefault="005A758A" w:rsidP="005A758A">
      <w:pPr>
        <w:spacing w:line="288" w:lineRule="auto"/>
        <w:ind w:firstLineChars="200" w:firstLine="480"/>
      </w:pPr>
      <w:r>
        <w:t>I</w:t>
      </w:r>
      <w:r w:rsidR="004C2155" w:rsidRPr="00E711AF">
        <w:t xml:space="preserve">n Panel C we augment our regression specification and regress three-year returns on quality characteristics. They show that what is driving returns is future earnings growth and different measures used to define quality are effectively different ways to predict earnings growth. </w:t>
      </w:r>
    </w:p>
    <w:p w14:paraId="6EAB6785" w14:textId="73A2424F" w:rsidR="004C2155" w:rsidRPr="00E711AF" w:rsidRDefault="004C2155" w:rsidP="005A758A">
      <w:pPr>
        <w:spacing w:line="288" w:lineRule="auto"/>
        <w:ind w:firstLineChars="200" w:firstLine="480"/>
      </w:pPr>
      <w:r w:rsidRPr="00E711AF">
        <w:t>It also shows that earnings information is highly relevant as all earnings-based characteristics are significantly related to stock returns after controlling for earnings mean reversion associated with them.</w:t>
      </w:r>
    </w:p>
    <w:p w14:paraId="5F7AC0FD" w14:textId="034A90B7" w:rsidR="004C2155" w:rsidRPr="00E711AF" w:rsidRDefault="004C2155" w:rsidP="00E711AF">
      <w:pPr>
        <w:spacing w:line="288" w:lineRule="auto"/>
      </w:pPr>
    </w:p>
    <w:p w14:paraId="5E9E780C" w14:textId="21502196" w:rsidR="004C2155" w:rsidRPr="00E711AF" w:rsidRDefault="004C2155" w:rsidP="00E711AF">
      <w:pPr>
        <w:spacing w:line="288" w:lineRule="auto"/>
      </w:pPr>
      <w:r w:rsidRPr="00E711AF">
        <w:t>Performance of earnings non-predictive quality measures</w:t>
      </w:r>
    </w:p>
    <w:p w14:paraId="3CFC7FA9" w14:textId="68011F9E" w:rsidR="00CE592E" w:rsidRPr="00E711AF" w:rsidRDefault="00477737" w:rsidP="00E711AF">
      <w:pPr>
        <w:spacing w:line="288" w:lineRule="auto"/>
      </w:pPr>
      <w:r>
        <w:rPr>
          <w:noProof/>
        </w:rPr>
        <w:drawing>
          <wp:inline distT="0" distB="0" distL="0" distR="0" wp14:anchorId="0E26D75A" wp14:editId="1375CE7B">
            <wp:extent cx="5274310" cy="22059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05990"/>
                    </a:xfrm>
                    <a:prstGeom prst="rect">
                      <a:avLst/>
                    </a:prstGeom>
                  </pic:spPr>
                </pic:pic>
              </a:graphicData>
            </a:graphic>
          </wp:inline>
        </w:drawing>
      </w:r>
    </w:p>
    <w:p w14:paraId="0A96F649" w14:textId="5422FB89" w:rsidR="004C2155" w:rsidRPr="00E711AF" w:rsidRDefault="004C2155" w:rsidP="005A758A">
      <w:pPr>
        <w:spacing w:line="288" w:lineRule="auto"/>
        <w:ind w:firstLineChars="200" w:firstLine="480"/>
      </w:pPr>
      <w:r w:rsidRPr="00E711AF">
        <w:t>The combined quality strategy generates a T-B quintile return of 2.0%. However, none of the T-B return spreads are statistically different from zero.</w:t>
      </w:r>
    </w:p>
    <w:p w14:paraId="69973401" w14:textId="1A252C9E" w:rsidR="009B041B" w:rsidRPr="00E711AF" w:rsidRDefault="009B041B" w:rsidP="00E711AF">
      <w:pPr>
        <w:spacing w:line="288" w:lineRule="auto"/>
        <w:ind w:firstLineChars="175" w:firstLine="420"/>
      </w:pPr>
    </w:p>
    <w:p w14:paraId="33B841FF" w14:textId="42AC9C8A" w:rsidR="009B041B" w:rsidRPr="00E711AF" w:rsidRDefault="004C2155" w:rsidP="005A758A">
      <w:pPr>
        <w:spacing w:line="288" w:lineRule="auto"/>
      </w:pPr>
      <w:r w:rsidRPr="00E711AF">
        <w:t>Performance of earnings predictive quality measures</w:t>
      </w:r>
    </w:p>
    <w:p w14:paraId="72FE3DDC" w14:textId="59F099A9" w:rsidR="004C2155" w:rsidRPr="00E711AF" w:rsidRDefault="00477737" w:rsidP="005A758A">
      <w:pPr>
        <w:spacing w:line="288" w:lineRule="auto"/>
      </w:pPr>
      <w:r>
        <w:rPr>
          <w:noProof/>
        </w:rPr>
        <w:drawing>
          <wp:inline distT="0" distB="0" distL="0" distR="0" wp14:anchorId="7E43CE12" wp14:editId="3E3C5882">
            <wp:extent cx="5274310" cy="18573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57375"/>
                    </a:xfrm>
                    <a:prstGeom prst="rect">
                      <a:avLst/>
                    </a:prstGeom>
                  </pic:spPr>
                </pic:pic>
              </a:graphicData>
            </a:graphic>
          </wp:inline>
        </w:drawing>
      </w:r>
    </w:p>
    <w:p w14:paraId="44A8F4B7" w14:textId="2C34293B" w:rsidR="004C2155" w:rsidRPr="00E711AF" w:rsidRDefault="005A758A" w:rsidP="005A758A">
      <w:pPr>
        <w:spacing w:line="288" w:lineRule="auto"/>
        <w:ind w:firstLineChars="200" w:firstLine="480"/>
      </w:pPr>
      <w:r>
        <w:t>T</w:t>
      </w:r>
      <w:r w:rsidR="004C2155" w:rsidRPr="00E711AF">
        <w:t>he T-B portfolios for all three characteristics have positive returns – 4.0% for gross profitability, 2.6% for accruals, and 3.2% for investments. Furthermore, all top quintile port-folios also outperform the total market portfolio.</w:t>
      </w:r>
    </w:p>
    <w:p w14:paraId="76345BE9" w14:textId="51B6F93F" w:rsidR="004C2155" w:rsidRPr="00E711AF" w:rsidRDefault="004C2155" w:rsidP="00E711AF">
      <w:pPr>
        <w:spacing w:line="288" w:lineRule="auto"/>
        <w:ind w:firstLineChars="175" w:firstLine="420"/>
      </w:pPr>
    </w:p>
    <w:p w14:paraId="7384CC9C" w14:textId="4C572101" w:rsidR="004C2155" w:rsidRPr="00E711AF" w:rsidRDefault="004C2155" w:rsidP="00E711AF">
      <w:pPr>
        <w:pStyle w:val="3"/>
        <w:numPr>
          <w:ilvl w:val="0"/>
          <w:numId w:val="0"/>
        </w:numPr>
        <w:spacing w:line="288" w:lineRule="auto"/>
        <w:ind w:right="240"/>
      </w:pPr>
      <w:r w:rsidRPr="00E711AF">
        <w:lastRenderedPageBreak/>
        <w:t>International performance of earnings predictive and earnings non-predictive quality factors</w:t>
      </w:r>
    </w:p>
    <w:p w14:paraId="4599FBC7" w14:textId="6F10BF63" w:rsidR="004C2155" w:rsidRPr="00E711AF" w:rsidRDefault="004C2155" w:rsidP="00E711AF">
      <w:pPr>
        <w:spacing w:line="288" w:lineRule="auto"/>
        <w:ind w:firstLineChars="175" w:firstLine="420"/>
      </w:pPr>
      <w:r w:rsidRPr="00E711AF">
        <w:rPr>
          <w:noProof/>
        </w:rPr>
        <w:drawing>
          <wp:inline distT="0" distB="0" distL="0" distR="0" wp14:anchorId="6A3DE2C7" wp14:editId="6331D9C3">
            <wp:extent cx="3856054" cy="201185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054" cy="2011854"/>
                    </a:xfrm>
                    <a:prstGeom prst="rect">
                      <a:avLst/>
                    </a:prstGeom>
                  </pic:spPr>
                </pic:pic>
              </a:graphicData>
            </a:graphic>
          </wp:inline>
        </w:drawing>
      </w:r>
    </w:p>
    <w:p w14:paraId="71034326" w14:textId="34D3DA07" w:rsidR="004C2155" w:rsidRPr="00E711AF" w:rsidRDefault="004C2155" w:rsidP="00E711AF">
      <w:pPr>
        <w:spacing w:line="288" w:lineRule="auto"/>
        <w:ind w:firstLineChars="175" w:firstLine="420"/>
      </w:pPr>
      <w:r w:rsidRPr="00E711AF">
        <w:t>We therefore further split the Global universe into three main regions – United States, Europe, and Japan as well as add Emerging markets.</w:t>
      </w:r>
    </w:p>
    <w:p w14:paraId="2534021E" w14:textId="0F1507AB" w:rsidR="004C2155" w:rsidRPr="00E711AF" w:rsidRDefault="004C2155" w:rsidP="00E711AF">
      <w:pPr>
        <w:spacing w:line="288" w:lineRule="auto"/>
        <w:ind w:firstLineChars="175" w:firstLine="420"/>
      </w:pPr>
      <w:r w:rsidRPr="00E711AF">
        <w:t>The main takeaway is that the combined ‘earnings predictive’ strategy consistently outperforms ‘earnings non-predictive’ one based on both T-B returns as well as alphas.</w:t>
      </w:r>
    </w:p>
    <w:p w14:paraId="581FB291" w14:textId="53124675" w:rsidR="004C2155" w:rsidRPr="00E711AF" w:rsidRDefault="004C2155" w:rsidP="00E711AF">
      <w:pPr>
        <w:spacing w:line="288" w:lineRule="auto"/>
        <w:ind w:firstLineChars="175" w:firstLine="420"/>
      </w:pPr>
    </w:p>
    <w:p w14:paraId="7F25D1EA" w14:textId="7A7C8172" w:rsidR="004C2155" w:rsidRPr="00E711AF" w:rsidRDefault="004C2155" w:rsidP="00E711AF">
      <w:pPr>
        <w:pStyle w:val="3"/>
        <w:numPr>
          <w:ilvl w:val="0"/>
          <w:numId w:val="0"/>
        </w:numPr>
        <w:spacing w:line="288" w:lineRule="auto"/>
        <w:ind w:right="240"/>
      </w:pPr>
      <w:r w:rsidRPr="00E711AF">
        <w:t>Quality and distress-risk</w:t>
      </w:r>
    </w:p>
    <w:p w14:paraId="708B2921" w14:textId="0A0880E6" w:rsidR="004C2155" w:rsidRPr="00E711AF" w:rsidRDefault="00477737" w:rsidP="00477737">
      <w:pPr>
        <w:spacing w:line="288" w:lineRule="auto"/>
      </w:pPr>
      <w:r>
        <w:rPr>
          <w:noProof/>
        </w:rPr>
        <w:drawing>
          <wp:inline distT="0" distB="0" distL="0" distR="0" wp14:anchorId="0345A27E" wp14:editId="5477043E">
            <wp:extent cx="5274310" cy="2725616"/>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354" cy="2730806"/>
                    </a:xfrm>
                    <a:prstGeom prst="rect">
                      <a:avLst/>
                    </a:prstGeom>
                  </pic:spPr>
                </pic:pic>
              </a:graphicData>
            </a:graphic>
          </wp:inline>
        </w:drawing>
      </w:r>
    </w:p>
    <w:p w14:paraId="70247873" w14:textId="25514002" w:rsidR="004C2155" w:rsidRPr="00E711AF" w:rsidRDefault="005A758A" w:rsidP="00E711AF">
      <w:pPr>
        <w:spacing w:line="288" w:lineRule="auto"/>
        <w:ind w:firstLineChars="175" w:firstLine="420"/>
      </w:pPr>
      <w:r>
        <w:t>W</w:t>
      </w:r>
      <w:r w:rsidR="004C2155" w:rsidRPr="00E711AF">
        <w:t>e apply a dependent double-sort in which we first sort all stocks into quintiles by distress risk, measured by distance-to-default (DtD).</w:t>
      </w:r>
    </w:p>
    <w:p w14:paraId="422DB9AE" w14:textId="3E600D25" w:rsidR="004C2155" w:rsidRPr="00E711AF" w:rsidRDefault="004C2155" w:rsidP="00E711AF">
      <w:pPr>
        <w:spacing w:line="288" w:lineRule="auto"/>
        <w:ind w:firstLineChars="175" w:firstLine="420"/>
      </w:pPr>
      <w:r w:rsidRPr="00E711AF">
        <w:t>The double sorts show that the top-minus-bottom returns and alphas of the earnings-predictive measure are positive and significant across distress risk groups suggesting that the return premium is not concentrated in the stocks with the highest levels of distress risk.</w:t>
      </w:r>
    </w:p>
    <w:p w14:paraId="1C22BCC4" w14:textId="71DF072D" w:rsidR="004C2155" w:rsidRPr="00E711AF" w:rsidRDefault="005A758A" w:rsidP="00E711AF">
      <w:pPr>
        <w:spacing w:line="288" w:lineRule="auto"/>
        <w:ind w:firstLineChars="175" w:firstLine="420"/>
      </w:pPr>
      <w:r>
        <w:t>W</w:t>
      </w:r>
      <w:r w:rsidR="004C2155" w:rsidRPr="00E711AF">
        <w:t>e conclude that mispricing is a more likely cause for the existence of the quality premium than distress risk is.</w:t>
      </w:r>
    </w:p>
    <w:p w14:paraId="64ED807B" w14:textId="77777777" w:rsidR="004C2155" w:rsidRPr="00E711AF" w:rsidRDefault="004C2155" w:rsidP="00E711AF">
      <w:pPr>
        <w:spacing w:line="288" w:lineRule="auto"/>
        <w:ind w:firstLineChars="175" w:firstLine="420"/>
      </w:pPr>
    </w:p>
    <w:p w14:paraId="1347F135" w14:textId="211B9D9F" w:rsidR="00932803" w:rsidRPr="00E711AF" w:rsidRDefault="00932803" w:rsidP="00E711AF">
      <w:pPr>
        <w:pStyle w:val="2"/>
        <w:spacing w:line="288" w:lineRule="auto"/>
      </w:pPr>
      <w:r w:rsidRPr="00E711AF">
        <w:rPr>
          <w:rFonts w:hint="eastAsia"/>
        </w:rPr>
        <w:t>C</w:t>
      </w:r>
      <w:r w:rsidRPr="00E711AF">
        <w:t>onclusion</w:t>
      </w:r>
    </w:p>
    <w:p w14:paraId="23A74DD7" w14:textId="77777777" w:rsidR="004C2155" w:rsidRPr="00E711AF" w:rsidRDefault="004C2155" w:rsidP="00E711AF">
      <w:pPr>
        <w:pStyle w:val="a3"/>
        <w:numPr>
          <w:ilvl w:val="0"/>
          <w:numId w:val="14"/>
        </w:numPr>
        <w:spacing w:line="288" w:lineRule="auto"/>
        <w:ind w:firstLineChars="0"/>
      </w:pPr>
      <w:r w:rsidRPr="00E711AF">
        <w:t>We find that the predictive power of quality factors originates from its measures being good proxies for future earnings growth.</w:t>
      </w:r>
    </w:p>
    <w:p w14:paraId="3DC66D3F" w14:textId="0DBCAE95" w:rsidR="00CD490C" w:rsidRPr="00E711AF" w:rsidRDefault="004C2155" w:rsidP="00477737">
      <w:pPr>
        <w:pStyle w:val="a3"/>
        <w:numPr>
          <w:ilvl w:val="0"/>
          <w:numId w:val="14"/>
        </w:numPr>
        <w:spacing w:line="288" w:lineRule="auto"/>
        <w:ind w:firstLineChars="0"/>
      </w:pPr>
      <w:r w:rsidRPr="00E711AF">
        <w:t xml:space="preserve">We find no relationship between the quality premium and distress risk and that mispricing is a more likely cause for the existence of the quality premium than distress risk is. </w:t>
      </w:r>
    </w:p>
    <w:sectPr w:rsidR="00CD490C" w:rsidRPr="00E71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5998F" w14:textId="77777777" w:rsidR="00C47CEF" w:rsidRDefault="00C47CEF" w:rsidP="004221AB">
      <w:r>
        <w:separator/>
      </w:r>
    </w:p>
  </w:endnote>
  <w:endnote w:type="continuationSeparator" w:id="0">
    <w:p w14:paraId="362F0F79" w14:textId="77777777" w:rsidR="00C47CEF" w:rsidRDefault="00C47CEF" w:rsidP="0042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003B9" w14:textId="77777777" w:rsidR="00C47CEF" w:rsidRDefault="00C47CEF" w:rsidP="004221AB">
      <w:r>
        <w:separator/>
      </w:r>
    </w:p>
  </w:footnote>
  <w:footnote w:type="continuationSeparator" w:id="0">
    <w:p w14:paraId="1B57ECF7" w14:textId="77777777" w:rsidR="00C47CEF" w:rsidRDefault="00C47CEF" w:rsidP="00422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7E54"/>
    <w:multiLevelType w:val="hybridMultilevel"/>
    <w:tmpl w:val="3C367780"/>
    <w:lvl w:ilvl="0" w:tplc="01E887E8">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E63B3"/>
    <w:multiLevelType w:val="hybridMultilevel"/>
    <w:tmpl w:val="9AB451BE"/>
    <w:lvl w:ilvl="0" w:tplc="EA3ED5D4">
      <w:start w:val="1"/>
      <w:numFmt w:val="decimal"/>
      <w:pStyle w:val="3"/>
      <w:lvlText w:val="%1."/>
      <w:lvlJc w:val="left"/>
      <w:pPr>
        <w:ind w:left="520" w:hanging="420"/>
      </w:pPr>
    </w:lvl>
    <w:lvl w:ilvl="1" w:tplc="75EC55B6">
      <w:start w:val="1"/>
      <w:numFmt w:val="lowerLetter"/>
      <w:lvlText w:val="%2)"/>
      <w:lvlJc w:val="left"/>
      <w:pPr>
        <w:ind w:left="880" w:hanging="360"/>
      </w:pPr>
      <w:rPr>
        <w:rFonts w:hint="default"/>
      </w:r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13EA2814"/>
    <w:multiLevelType w:val="hybridMultilevel"/>
    <w:tmpl w:val="6868C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FB1234"/>
    <w:multiLevelType w:val="hybridMultilevel"/>
    <w:tmpl w:val="EB6C2C5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50D40F0"/>
    <w:multiLevelType w:val="hybridMultilevel"/>
    <w:tmpl w:val="00DC69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3385C42"/>
    <w:multiLevelType w:val="hybridMultilevel"/>
    <w:tmpl w:val="12B8739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8BB56A6"/>
    <w:multiLevelType w:val="hybridMultilevel"/>
    <w:tmpl w:val="770459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F2068DB"/>
    <w:multiLevelType w:val="hybridMultilevel"/>
    <w:tmpl w:val="BDFABA88"/>
    <w:lvl w:ilvl="0" w:tplc="C062F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830B3E"/>
    <w:multiLevelType w:val="hybridMultilevel"/>
    <w:tmpl w:val="FAF0502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A64357C"/>
    <w:multiLevelType w:val="hybridMultilevel"/>
    <w:tmpl w:val="44AAB12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F897D1F"/>
    <w:multiLevelType w:val="hybridMultilevel"/>
    <w:tmpl w:val="18028BF0"/>
    <w:lvl w:ilvl="0" w:tplc="0409000B">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BBF78B3"/>
    <w:multiLevelType w:val="hybridMultilevel"/>
    <w:tmpl w:val="56EAA10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BD55652"/>
    <w:multiLevelType w:val="hybridMultilevel"/>
    <w:tmpl w:val="9530BF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E856F1D"/>
    <w:multiLevelType w:val="hybridMultilevel"/>
    <w:tmpl w:val="F6688B34"/>
    <w:lvl w:ilvl="0" w:tplc="0409000B">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rPr>
        <w:rFonts w:hint="default"/>
      </w:rPr>
    </w:lvl>
    <w:lvl w:ilvl="2" w:tplc="0409000F">
      <w:start w:val="1"/>
      <w:numFmt w:val="decimal"/>
      <w:lvlText w:val="%3."/>
      <w:lvlJc w:val="left"/>
      <w:pPr>
        <w:ind w:left="1680" w:hanging="420"/>
      </w:pPr>
      <w:rPr>
        <w:rFont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16E7BDB"/>
    <w:multiLevelType w:val="hybridMultilevel"/>
    <w:tmpl w:val="8C14620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8D1F0F"/>
    <w:multiLevelType w:val="hybridMultilevel"/>
    <w:tmpl w:val="70ACE3D4"/>
    <w:lvl w:ilvl="0" w:tplc="E212501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75861CB"/>
    <w:multiLevelType w:val="hybridMultilevel"/>
    <w:tmpl w:val="10D28B02"/>
    <w:lvl w:ilvl="0" w:tplc="0409000B">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7EF0AFA"/>
    <w:multiLevelType w:val="hybridMultilevel"/>
    <w:tmpl w:val="AE02023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EE069B6"/>
    <w:multiLevelType w:val="hybridMultilevel"/>
    <w:tmpl w:val="5BAC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D973B3"/>
    <w:multiLevelType w:val="hybridMultilevel"/>
    <w:tmpl w:val="E30E38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14C512C"/>
    <w:multiLevelType w:val="hybridMultilevel"/>
    <w:tmpl w:val="75FA6A9A"/>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1" w15:restartNumberingAfterBreak="0">
    <w:nsid w:val="725C11BB"/>
    <w:multiLevelType w:val="hybridMultilevel"/>
    <w:tmpl w:val="2E4A34A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79D10E7"/>
    <w:multiLevelType w:val="hybridMultilevel"/>
    <w:tmpl w:val="37C034F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3E2F38"/>
    <w:multiLevelType w:val="hybridMultilevel"/>
    <w:tmpl w:val="79262CC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4" w15:restartNumberingAfterBreak="0">
    <w:nsid w:val="7D6A1B43"/>
    <w:multiLevelType w:val="hybridMultilevel"/>
    <w:tmpl w:val="3CF61FF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6"/>
  </w:num>
  <w:num w:numId="2">
    <w:abstractNumId w:val="15"/>
  </w:num>
  <w:num w:numId="3">
    <w:abstractNumId w:val="7"/>
  </w:num>
  <w:num w:numId="4">
    <w:abstractNumId w:val="17"/>
  </w:num>
  <w:num w:numId="5">
    <w:abstractNumId w:val="22"/>
  </w:num>
  <w:num w:numId="6">
    <w:abstractNumId w:val="16"/>
  </w:num>
  <w:num w:numId="7">
    <w:abstractNumId w:val="9"/>
  </w:num>
  <w:num w:numId="8">
    <w:abstractNumId w:val="14"/>
  </w:num>
  <w:num w:numId="9">
    <w:abstractNumId w:val="13"/>
  </w:num>
  <w:num w:numId="10">
    <w:abstractNumId w:val="1"/>
  </w:num>
  <w:num w:numId="11">
    <w:abstractNumId w:val="3"/>
  </w:num>
  <w:num w:numId="12">
    <w:abstractNumId w:val="10"/>
  </w:num>
  <w:num w:numId="13">
    <w:abstractNumId w:val="8"/>
  </w:num>
  <w:num w:numId="14">
    <w:abstractNumId w:val="21"/>
  </w:num>
  <w:num w:numId="15">
    <w:abstractNumId w:val="2"/>
  </w:num>
  <w:num w:numId="16">
    <w:abstractNumId w:val="18"/>
  </w:num>
  <w:num w:numId="17">
    <w:abstractNumId w:val="12"/>
  </w:num>
  <w:num w:numId="18">
    <w:abstractNumId w:val="23"/>
  </w:num>
  <w:num w:numId="19">
    <w:abstractNumId w:val="19"/>
  </w:num>
  <w:num w:numId="20">
    <w:abstractNumId w:val="11"/>
  </w:num>
  <w:num w:numId="21">
    <w:abstractNumId w:val="5"/>
  </w:num>
  <w:num w:numId="22">
    <w:abstractNumId w:val="4"/>
  </w:num>
  <w:num w:numId="23">
    <w:abstractNumId w:val="24"/>
  </w:num>
  <w:num w:numId="24">
    <w:abstractNumId w:val="20"/>
  </w:num>
  <w:num w:numId="25">
    <w:abstractNumId w:val="1"/>
  </w:num>
  <w:num w:numId="26">
    <w:abstractNumId w:val="1"/>
  </w:num>
  <w:num w:numId="27">
    <w:abstractNumId w:val="1"/>
  </w:num>
  <w:num w:numId="28">
    <w:abstractNumId w:val="0"/>
  </w:num>
  <w:num w:numId="29">
    <w:abstractNumId w:val="1"/>
  </w:num>
  <w:num w:numId="30">
    <w:abstractNumId w:val="1"/>
  </w:num>
  <w:num w:numId="31">
    <w:abstractNumId w:val="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D1"/>
    <w:rsid w:val="00023214"/>
    <w:rsid w:val="00045114"/>
    <w:rsid w:val="0006102C"/>
    <w:rsid w:val="00061D28"/>
    <w:rsid w:val="00071F4D"/>
    <w:rsid w:val="000E5BD9"/>
    <w:rsid w:val="000E77D6"/>
    <w:rsid w:val="001521C2"/>
    <w:rsid w:val="00167A04"/>
    <w:rsid w:val="00193202"/>
    <w:rsid w:val="001E6E14"/>
    <w:rsid w:val="001F4FA7"/>
    <w:rsid w:val="00232C48"/>
    <w:rsid w:val="00257512"/>
    <w:rsid w:val="00266104"/>
    <w:rsid w:val="0028015D"/>
    <w:rsid w:val="002823CB"/>
    <w:rsid w:val="00286B7B"/>
    <w:rsid w:val="002934AD"/>
    <w:rsid w:val="002935DA"/>
    <w:rsid w:val="002968D9"/>
    <w:rsid w:val="002A02DC"/>
    <w:rsid w:val="002E329A"/>
    <w:rsid w:val="00344DF2"/>
    <w:rsid w:val="003A2D95"/>
    <w:rsid w:val="003D4FD2"/>
    <w:rsid w:val="003E0932"/>
    <w:rsid w:val="003E5F0E"/>
    <w:rsid w:val="004221AB"/>
    <w:rsid w:val="00447B53"/>
    <w:rsid w:val="00477737"/>
    <w:rsid w:val="004B639A"/>
    <w:rsid w:val="004C2155"/>
    <w:rsid w:val="00530491"/>
    <w:rsid w:val="00535A37"/>
    <w:rsid w:val="00541E66"/>
    <w:rsid w:val="0057768C"/>
    <w:rsid w:val="005A758A"/>
    <w:rsid w:val="005C128D"/>
    <w:rsid w:val="005F5603"/>
    <w:rsid w:val="00615927"/>
    <w:rsid w:val="00622211"/>
    <w:rsid w:val="006505DF"/>
    <w:rsid w:val="00686587"/>
    <w:rsid w:val="00690C7D"/>
    <w:rsid w:val="006C5A9E"/>
    <w:rsid w:val="006D0811"/>
    <w:rsid w:val="006D2A00"/>
    <w:rsid w:val="006F4E53"/>
    <w:rsid w:val="00711221"/>
    <w:rsid w:val="007275F2"/>
    <w:rsid w:val="007A15B8"/>
    <w:rsid w:val="007A3619"/>
    <w:rsid w:val="007C7B15"/>
    <w:rsid w:val="0082024E"/>
    <w:rsid w:val="00824902"/>
    <w:rsid w:val="00830E88"/>
    <w:rsid w:val="00846753"/>
    <w:rsid w:val="00877E20"/>
    <w:rsid w:val="008B2CF1"/>
    <w:rsid w:val="008D2518"/>
    <w:rsid w:val="008F365A"/>
    <w:rsid w:val="00912C04"/>
    <w:rsid w:val="00932803"/>
    <w:rsid w:val="00936067"/>
    <w:rsid w:val="00994B00"/>
    <w:rsid w:val="009B041B"/>
    <w:rsid w:val="009D1165"/>
    <w:rsid w:val="009F27D4"/>
    <w:rsid w:val="00A030D0"/>
    <w:rsid w:val="00A06016"/>
    <w:rsid w:val="00A5371B"/>
    <w:rsid w:val="00A553EB"/>
    <w:rsid w:val="00A668EC"/>
    <w:rsid w:val="00B306B1"/>
    <w:rsid w:val="00B47E71"/>
    <w:rsid w:val="00B60CBF"/>
    <w:rsid w:val="00B84160"/>
    <w:rsid w:val="00BC48B2"/>
    <w:rsid w:val="00BF7E02"/>
    <w:rsid w:val="00C10F18"/>
    <w:rsid w:val="00C25742"/>
    <w:rsid w:val="00C47CEF"/>
    <w:rsid w:val="00C47DD4"/>
    <w:rsid w:val="00C97A98"/>
    <w:rsid w:val="00CD490C"/>
    <w:rsid w:val="00CE592E"/>
    <w:rsid w:val="00D077F6"/>
    <w:rsid w:val="00D57132"/>
    <w:rsid w:val="00D75AEE"/>
    <w:rsid w:val="00D97E31"/>
    <w:rsid w:val="00DD6EEF"/>
    <w:rsid w:val="00DE2842"/>
    <w:rsid w:val="00DF325B"/>
    <w:rsid w:val="00E05115"/>
    <w:rsid w:val="00E320D8"/>
    <w:rsid w:val="00E711AF"/>
    <w:rsid w:val="00E77F84"/>
    <w:rsid w:val="00E80A27"/>
    <w:rsid w:val="00E92987"/>
    <w:rsid w:val="00EB0DCE"/>
    <w:rsid w:val="00EB39D1"/>
    <w:rsid w:val="00EF494A"/>
    <w:rsid w:val="00F109F4"/>
    <w:rsid w:val="00F75440"/>
    <w:rsid w:val="00F766CE"/>
    <w:rsid w:val="00FA3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EA50C"/>
  <w15:chartTrackingRefBased/>
  <w15:docId w15:val="{4B3BEE78-00A3-473E-BD84-710DC14F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491"/>
    <w:pPr>
      <w:widowControl w:val="0"/>
      <w:jc w:val="both"/>
    </w:pPr>
    <w:rPr>
      <w:rFonts w:ascii="Times New Roman" w:eastAsia="宋体" w:hAnsi="Times New Roman"/>
      <w:sz w:val="24"/>
    </w:rPr>
  </w:style>
  <w:style w:type="paragraph" w:styleId="1">
    <w:name w:val="heading 1"/>
    <w:basedOn w:val="a"/>
    <w:next w:val="a"/>
    <w:link w:val="10"/>
    <w:uiPriority w:val="9"/>
    <w:qFormat/>
    <w:rsid w:val="00F75440"/>
    <w:pPr>
      <w:keepNext/>
      <w:keepLines/>
      <w:spacing w:before="120" w:after="120" w:line="240" w:lineRule="atLeast"/>
      <w:jc w:val="center"/>
      <w:outlineLvl w:val="0"/>
    </w:pPr>
    <w:rPr>
      <w:b/>
      <w:bCs/>
      <w:kern w:val="44"/>
      <w:sz w:val="32"/>
      <w:szCs w:val="44"/>
    </w:rPr>
  </w:style>
  <w:style w:type="paragraph" w:styleId="2">
    <w:name w:val="heading 2"/>
    <w:basedOn w:val="a"/>
    <w:next w:val="a"/>
    <w:link w:val="20"/>
    <w:uiPriority w:val="9"/>
    <w:unhideWhenUsed/>
    <w:qFormat/>
    <w:rsid w:val="00530491"/>
    <w:pPr>
      <w:keepNext/>
      <w:keepLines/>
      <w:outlineLvl w:val="1"/>
    </w:pPr>
    <w:rPr>
      <w:rFonts w:cstheme="majorBidi"/>
      <w:b/>
      <w:bCs/>
      <w:sz w:val="28"/>
      <w:szCs w:val="32"/>
    </w:rPr>
  </w:style>
  <w:style w:type="paragraph" w:styleId="3">
    <w:name w:val="heading 3"/>
    <w:basedOn w:val="a"/>
    <w:next w:val="a"/>
    <w:link w:val="30"/>
    <w:uiPriority w:val="9"/>
    <w:unhideWhenUsed/>
    <w:qFormat/>
    <w:rsid w:val="009D1165"/>
    <w:pPr>
      <w:keepNext/>
      <w:keepLines/>
      <w:numPr>
        <w:numId w:val="10"/>
      </w:numPr>
      <w:ind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803"/>
    <w:pPr>
      <w:ind w:firstLineChars="200" w:firstLine="420"/>
    </w:pPr>
  </w:style>
  <w:style w:type="character" w:customStyle="1" w:styleId="20">
    <w:name w:val="标题 2 字符"/>
    <w:basedOn w:val="a0"/>
    <w:link w:val="2"/>
    <w:uiPriority w:val="9"/>
    <w:rsid w:val="00530491"/>
    <w:rPr>
      <w:rFonts w:ascii="Times New Roman" w:eastAsia="宋体" w:hAnsi="Times New Roman" w:cstheme="majorBidi"/>
      <w:b/>
      <w:bCs/>
      <w:sz w:val="28"/>
      <w:szCs w:val="32"/>
    </w:rPr>
  </w:style>
  <w:style w:type="character" w:customStyle="1" w:styleId="30">
    <w:name w:val="标题 3 字符"/>
    <w:basedOn w:val="a0"/>
    <w:link w:val="3"/>
    <w:uiPriority w:val="9"/>
    <w:rsid w:val="009D1165"/>
    <w:rPr>
      <w:rFonts w:ascii="Times New Roman" w:eastAsia="宋体" w:hAnsi="Times New Roman"/>
      <w:b/>
      <w:bCs/>
      <w:sz w:val="24"/>
      <w:szCs w:val="32"/>
    </w:rPr>
  </w:style>
  <w:style w:type="character" w:customStyle="1" w:styleId="10">
    <w:name w:val="标题 1 字符"/>
    <w:basedOn w:val="a0"/>
    <w:link w:val="1"/>
    <w:uiPriority w:val="9"/>
    <w:rsid w:val="00F75440"/>
    <w:rPr>
      <w:rFonts w:ascii="Times New Roman" w:eastAsia="宋体" w:hAnsi="Times New Roman"/>
      <w:b/>
      <w:bCs/>
      <w:kern w:val="44"/>
      <w:sz w:val="32"/>
      <w:szCs w:val="44"/>
    </w:rPr>
  </w:style>
  <w:style w:type="character" w:styleId="a4">
    <w:name w:val="Placeholder Text"/>
    <w:basedOn w:val="a0"/>
    <w:uiPriority w:val="99"/>
    <w:semiHidden/>
    <w:rsid w:val="00D57132"/>
    <w:rPr>
      <w:color w:val="808080"/>
    </w:rPr>
  </w:style>
  <w:style w:type="paragraph" w:styleId="a5">
    <w:name w:val="header"/>
    <w:basedOn w:val="a"/>
    <w:link w:val="a6"/>
    <w:uiPriority w:val="99"/>
    <w:unhideWhenUsed/>
    <w:rsid w:val="004221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21AB"/>
    <w:rPr>
      <w:rFonts w:ascii="Times New Roman" w:eastAsia="宋体" w:hAnsi="Times New Roman"/>
      <w:sz w:val="18"/>
      <w:szCs w:val="18"/>
    </w:rPr>
  </w:style>
  <w:style w:type="paragraph" w:styleId="a7">
    <w:name w:val="footer"/>
    <w:basedOn w:val="a"/>
    <w:link w:val="a8"/>
    <w:uiPriority w:val="99"/>
    <w:unhideWhenUsed/>
    <w:rsid w:val="004221AB"/>
    <w:pPr>
      <w:tabs>
        <w:tab w:val="center" w:pos="4153"/>
        <w:tab w:val="right" w:pos="8306"/>
      </w:tabs>
      <w:snapToGrid w:val="0"/>
      <w:jc w:val="left"/>
    </w:pPr>
    <w:rPr>
      <w:sz w:val="18"/>
      <w:szCs w:val="18"/>
    </w:rPr>
  </w:style>
  <w:style w:type="character" w:customStyle="1" w:styleId="a8">
    <w:name w:val="页脚 字符"/>
    <w:basedOn w:val="a0"/>
    <w:link w:val="a7"/>
    <w:uiPriority w:val="99"/>
    <w:rsid w:val="004221AB"/>
    <w:rPr>
      <w:rFonts w:ascii="Times New Roman" w:eastAsia="宋体" w:hAnsi="Times New Roman"/>
      <w:sz w:val="18"/>
      <w:szCs w:val="18"/>
    </w:rPr>
  </w:style>
  <w:style w:type="paragraph" w:styleId="a9">
    <w:name w:val="Normal (Web)"/>
    <w:basedOn w:val="a"/>
    <w:uiPriority w:val="99"/>
    <w:semiHidden/>
    <w:unhideWhenUsed/>
    <w:rsid w:val="001E6E14"/>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32814">
      <w:bodyDiv w:val="1"/>
      <w:marLeft w:val="0"/>
      <w:marRight w:val="0"/>
      <w:marTop w:val="0"/>
      <w:marBottom w:val="0"/>
      <w:divBdr>
        <w:top w:val="none" w:sz="0" w:space="0" w:color="auto"/>
        <w:left w:val="none" w:sz="0" w:space="0" w:color="auto"/>
        <w:bottom w:val="none" w:sz="0" w:space="0" w:color="auto"/>
        <w:right w:val="none" w:sz="0" w:space="0" w:color="auto"/>
      </w:divBdr>
    </w:div>
    <w:div w:id="1169783868">
      <w:bodyDiv w:val="1"/>
      <w:marLeft w:val="0"/>
      <w:marRight w:val="0"/>
      <w:marTop w:val="0"/>
      <w:marBottom w:val="0"/>
      <w:divBdr>
        <w:top w:val="none" w:sz="0" w:space="0" w:color="auto"/>
        <w:left w:val="none" w:sz="0" w:space="0" w:color="auto"/>
        <w:bottom w:val="none" w:sz="0" w:space="0" w:color="auto"/>
        <w:right w:val="none" w:sz="0" w:space="0" w:color="auto"/>
      </w:divBdr>
    </w:div>
    <w:div w:id="1666202220">
      <w:bodyDiv w:val="1"/>
      <w:marLeft w:val="0"/>
      <w:marRight w:val="0"/>
      <w:marTop w:val="0"/>
      <w:marBottom w:val="0"/>
      <w:divBdr>
        <w:top w:val="none" w:sz="0" w:space="0" w:color="auto"/>
        <w:left w:val="none" w:sz="0" w:space="0" w:color="auto"/>
        <w:bottom w:val="none" w:sz="0" w:space="0" w:color="auto"/>
        <w:right w:val="none" w:sz="0" w:space="0" w:color="auto"/>
      </w:divBdr>
    </w:div>
    <w:div w:id="19585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7</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真</dc:creator>
  <cp:keywords/>
  <dc:description/>
  <cp:lastModifiedBy>wang shuo</cp:lastModifiedBy>
  <cp:revision>39</cp:revision>
  <dcterms:created xsi:type="dcterms:W3CDTF">2020-06-27T00:53:00Z</dcterms:created>
  <dcterms:modified xsi:type="dcterms:W3CDTF">2020-07-11T00:20:00Z</dcterms:modified>
</cp:coreProperties>
</file>