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 identified insurance as an entity, and in order to make our database consistent and coherent, we filtered insurance’s attributes so that they also work with other entities. The attributes are: amountPaid,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amountDue, patientFirstName,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highlight w:val="white"/>
          <w:rtl w:val="0"/>
        </w:rPr>
        <w:t xml:space="preserve">patientLastName, sumInsured, policyNumber, purchaseDate, policyNumber, physiciansFaxNumber, physicianOrderingTest, physicianSignature, physicianStamp, primaryPhysician, patientPhoneNumber, patientPostalCode, patientsCreditcardnumber, patientsPhoneNumber, patientStreet, physiciansFaxNumber, physicianSignature, physicianStamp, primaryPhysician, taxIdentificationNumber(SSN).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