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6.8 - Create one trigger for The Art Gallery database.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OR REPLACE TRIGGER refilRemainingCount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BEFORE INSERT OR UPDATE ON PrescriptionMedication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REFERENCING NEW AS NEW OLD AS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:NEW.refillsRemaining := :NEW.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quantityPrescribed -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:NEW.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quantityDispensed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Trigger created.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insert a new value to check whether the trigger works or not. As we can see here, the value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refillsRemaining changed using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quantityPrescribed and quantityDispensed to calculate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