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 disponibilidad de información, a la seguridad y virtualización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Disponibilidad de la información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ind w:left="1440" w:firstLine="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un enfoque integral para la continuidad del negocio y la recuperación de desastres, abarcando el análisis de riesgos, estrategias de recuperación y el uso de tecnología para asegurar la resiliencia operativa.</w:t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del almacenamiento</w:t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942"/>
            <w:gridCol w:w="534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Continuidad de Negocio (BCP)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Pasos para Desarrollar un Plan de Continuidad de Negocio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Recuperación de Desastres (DR)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Diferencias entre Continuidad de Negocio y Recuperación de Desastres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Riesgos y Análisis de Impacto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de Continuidad y Recuperación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Enfoque Tecnológico en la Recuperación de Desastres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GtK6JfTaDFGwC8tiCZuH3Cyog==">CgMxLjAaHwoBMBIaChgICVIUChJ0YWJsZS4zeHN0c3Bkbm5rMWs4AHIhMVdRZk1pWlZTMkVKNU43WDI2cm41TVo3MWtfV2ZfYkta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