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Diseño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y aplicar restricciones como NOT NULL y UNIQUE para garantizar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claves primarias y foráneas, y validar datos con CHECK.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Implementar control de acceso y privilegios en la base de datos.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restricciones; restricciones NOT NULL y UNIQUE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Restricciones PRIMARY KEY, FOREIGN KEY y CHECK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Restricciones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yVGyKP0v6xaUMOE306zhGAPiUA==">CgMxLjAyCGguZ2pkZ3hzOAByITFBRHBhSVR1aEJfZXhNSzNzdFNiOEFFb1U5eDljTThXUQ==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2024-10-19T04:09:00Z</dcterms:created>
</cp:coreProperties>
</file>