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white"/>
        </w:rPr>
      </w:pPr>
      <w:r w:rsidDel="00000000" w:rsidR="00000000" w:rsidRPr="00000000">
        <w:rPr>
          <w:rtl w:val="0"/>
        </w:rPr>
        <w:t xml:space="preserve">Bases de Datos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highlight w:val="white"/>
          <w:rtl w:val="0"/>
        </w:rPr>
        <w:t xml:space="preserve">Correo: 77</w:t>
      </w:r>
      <w:r w:rsidDel="00000000" w:rsidR="00000000" w:rsidRPr="00000000">
        <w:rPr>
          <w:rtl w:val="0"/>
        </w:rPr>
        <w:t xml:space="preserve">4.bases.ing.usac@gmail.com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</w:pPr>
      <w:r w:rsidDel="00000000" w:rsidR="00000000" w:rsidRPr="00000000">
        <w:rPr>
          <w:rtl w:val="0"/>
        </w:rPr>
        <w:t xml:space="preserve">Contraseña: Bases10774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YouTube: https://www.youtube.com/@ECYS_SistemasdeBasesdeDatos1</w:t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Invideo: iniciar sesión con Google.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