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foizeipq32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Semana 13 de 14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Concepto Principal:</w:t>
        <w:br w:type="textWrapping"/>
        <w:t xml:space="preserve">Implementar Consultas Avanzadas en OLAP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 cubos OLAP para análisis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avanzadas en cubos OLAP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de agregación y cálculo en OLAP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tendencias y proyecciones en OLAP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OLAP con herramientas de BI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del rendimiento de cubos OLAP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almacenamiento en bases de datos multidimensionales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cubos OLAP adecuados para análisis de datos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consultas avanzadas sobre datos multidimensionales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funciones de agregación y cálculo en cubos OLAP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análisis de tendencias y proyecciones en datos OLAP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OLAP con herramientas de business intelligence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el rendimiento de cubos y consultas OLAP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estrategias de almacenamiento eficiente en OLAP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Referencia a Meta del Curso:</w:t>
        <w:br w:type="textWrapping"/>
      </w:r>
      <w:r w:rsidDel="00000000" w:rsidR="00000000" w:rsidRPr="00000000">
        <w:rPr>
          <w:rtl w:val="0"/>
        </w:rPr>
        <w:t xml:space="preserve">Meta 13: Implementar Consultas Avanzadas en OLAP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.2875280728318"/>
        <w:gridCol w:w="2574.256211053203"/>
        <w:gridCol w:w="1383.0492641706985"/>
        <w:gridCol w:w="727.2162259994318"/>
        <w:gridCol w:w="927.9814417661462"/>
        <w:gridCol w:w="1021.6718757906128"/>
        <w:gridCol w:w="1383.0492641706985"/>
        <w:tblGridChange w:id="0">
          <w:tblGrid>
            <w:gridCol w:w="1008.2875280728318"/>
            <w:gridCol w:w="2574.256211053203"/>
            <w:gridCol w:w="1383.0492641706985"/>
            <w:gridCol w:w="727.2162259994318"/>
            <w:gridCol w:w="927.9814417661462"/>
            <w:gridCol w:w="1021.6718757906128"/>
            <w:gridCol w:w="1383.0492641706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Numeral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Diseño de cubos OLAP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Consultas avanzadas en cubos OLAP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Funciones de agregación y cálculo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Análisis de tendencias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OLAP 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