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3yyr97kk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Semana 14 de 14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Concepto Principal:</w:t>
        <w:br w:type="textWrapping"/>
        <w:t xml:space="preserve">Revisión y Proyecto Final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Repaso de conceptos clave: SQL y NoSQL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técnicas de replicación y sistemas distribuidos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modelado de datos en MongoDB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práctica con Redis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un grafo en Neo4j y consultas Cypher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un cubo OLAP y consultas multidimensionales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del proyecto final integrando múltiples tecnologías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Reforzar los conceptos clave aprendidos a lo largo del curso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las habilidades técnicas de replicación y sistemas distribuidos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el modelado de datos en bases NoSQL como MongoDB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soluciones avanzadas con Redis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grafo en Neo4j y ejecutar consultas avanzadas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y consultar cubos OLAP en bases multidimensionales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múltiples tecnologías en un proyecto práctico final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Referencia a Meta del Curso:</w:t>
        <w:br w:type="textWrapping"/>
      </w:r>
      <w:r w:rsidDel="00000000" w:rsidR="00000000" w:rsidRPr="00000000">
        <w:rPr>
          <w:rtl w:val="0"/>
        </w:rPr>
        <w:t xml:space="preserve">Meta 14: Revisión y Proyecto Final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.2875280728318"/>
        <w:gridCol w:w="2574.256211053203"/>
        <w:gridCol w:w="1383.0492641706985"/>
        <w:gridCol w:w="727.2162259994318"/>
        <w:gridCol w:w="927.9814417661462"/>
        <w:gridCol w:w="1021.6718757906128"/>
        <w:gridCol w:w="1383.0492641706985"/>
        <w:tblGridChange w:id="0">
          <w:tblGrid>
            <w:gridCol w:w="1008.2875280728318"/>
            <w:gridCol w:w="2574.256211053203"/>
            <w:gridCol w:w="1383.0492641706985"/>
            <w:gridCol w:w="727.2162259994318"/>
            <w:gridCol w:w="927.9814417661462"/>
            <w:gridCol w:w="1021.6718757906128"/>
            <w:gridCol w:w="1383.0492641706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Repaso de conceptos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técnicas de replicación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Revisión de modelado de datos en 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práctica con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Creación de un grafo en Neo4j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Diseño de un cubo OLAP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del proyecto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Tiempo Total en minutos:</w:t>
      </w:r>
      <w:r w:rsidDel="00000000" w:rsidR="00000000" w:rsidRPr="00000000">
        <w:rPr>
          <w:rtl w:val="0"/>
        </w:rPr>
        <w:t xml:space="preserve"> 115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 Final - Integración de tecnologías (50 pts)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 de trabajo final (5 pts)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