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Proxima Nova" w:cs="Proxima Nova" w:eastAsia="Proxima Nova" w:hAnsi="Proxima Nova"/>
          <w:b w:val="1"/>
          <w:bCs w:val="1"/>
          <w:color w:val="404040"/>
          <w:sz w:val="96"/>
          <w:szCs w:val="96"/>
        </w:rPr>
      </w:pPr>
      <w:bookmarkStart w:colFirst="0" w:colLast="0" w:name="_aczyuw2yex2w" w:id="0"/>
      <w:bookmarkEnd w:id="0"/>
      <w:r w:rsidDel="00000000" w:rsidR="00000000" w:rsidRPr="00000000">
        <w:rPr>
          <w:b w:val="0"/>
          <w:bCs w:val="0"/>
          <w:color w:val="039be5"/>
          <w:sz w:val="72"/>
          <w:szCs w:val="72"/>
          <w:rtl w:val="0"/>
        </w:rPr>
        <w:t xml:space="preserve">Conceptos sobre bases de datos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447675" cy="57150"/>
            <wp:effectExtent b="0" l="0" r="0" t="0"/>
            <wp:docPr descr="línea corta" id="7" name="image1.png"/>
            <a:graphic>
              <a:graphicData uri="http://schemas.openxmlformats.org/drawingml/2006/picture">
                <pic:pic>
                  <pic:nvPicPr>
                    <pic:cNvPr descr="línea corta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Tutor: 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62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br w:type="textWrapping"/>
        <w:t xml:space="preserve">Universidad San Carlos de Guatemala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Facultad de ingeniería.</w:t>
      </w:r>
    </w:p>
    <w:p w:rsidR="00000000" w:rsidDel="00000000" w:rsidP="00000000" w:rsidRDefault="00000000" w:rsidRPr="00000000" w14:paraId="00000010">
      <w:pPr>
        <w:rPr>
          <w:rFonts w:ascii="Proxima Nova" w:cs="Proxima Nova" w:eastAsia="Proxima Nova" w:hAnsi="Proxima Nova"/>
          <w:color w:val="039be5"/>
          <w:sz w:val="36"/>
          <w:szCs w:val="36"/>
        </w:rPr>
      </w:pPr>
      <w:r w:rsidDel="00000000" w:rsidR="00000000" w:rsidRPr="00000000">
        <w:rPr>
          <w:rtl w:val="0"/>
        </w:rPr>
        <w:t xml:space="preserve">Ingeniería en ciencias y sistemas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k1d1swi451i0" w:id="1"/>
      <w:bookmarkEnd w:id="1"/>
      <w:r w:rsidDel="00000000" w:rsidR="00000000" w:rsidRPr="00000000">
        <w:rPr>
          <w:rtl w:val="0"/>
        </w:rPr>
        <w:t xml:space="preserve">MARCO FORMATIVO </w:t>
      </w:r>
    </w:p>
    <w:p w:rsidR="00000000" w:rsidDel="00000000" w:rsidP="00000000" w:rsidRDefault="00000000" w:rsidRPr="00000000" w14:paraId="00000012">
      <w:pPr>
        <w:pStyle w:val="Heading2"/>
        <w:numPr>
          <w:ilvl w:val="1"/>
          <w:numId w:val="1"/>
        </w:numPr>
        <w:spacing w:before="0" w:beforeAutospacing="0"/>
        <w:ind w:left="1440" w:hanging="360"/>
        <w:rPr/>
      </w:pPr>
      <w:bookmarkStart w:colFirst="0" w:colLast="0" w:name="_ph1lihtw76wz" w:id="2"/>
      <w:bookmarkEnd w:id="2"/>
      <w:r w:rsidDel="00000000" w:rsidR="00000000" w:rsidRPr="00000000">
        <w:rPr>
          <w:rtl w:val="0"/>
        </w:rPr>
        <w:t xml:space="preserve">Valores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7110"/>
        <w:tblGridChange w:id="0">
          <w:tblGrid>
            <w:gridCol w:w="2250"/>
            <w:gridCol w:w="71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Nombre del valor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76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¿Cómo se aplica en tu laboratorio?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Responsabilidad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0" w:line="240" w:lineRule="auto"/>
              <w:rPr>
                <w:color w:val="039be5"/>
                <w:sz w:val="36"/>
                <w:szCs w:val="3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pStyle w:val="Heading2"/>
        <w:ind w:left="0" w:firstLine="0"/>
        <w:rPr/>
      </w:pPr>
      <w:bookmarkStart w:colFirst="0" w:colLast="0" w:name="_2qb0c2xoxm9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numPr>
          <w:ilvl w:val="1"/>
          <w:numId w:val="1"/>
        </w:numPr>
        <w:ind w:left="1440" w:hanging="360"/>
        <w:rPr/>
      </w:pPr>
      <w:bookmarkStart w:colFirst="0" w:colLast="0" w:name="_rkumsa8kgnrx" w:id="4"/>
      <w:bookmarkEnd w:id="4"/>
      <w:r w:rsidDel="00000000" w:rsidR="00000000" w:rsidRPr="00000000">
        <w:rPr>
          <w:rtl w:val="0"/>
        </w:rPr>
        <w:t xml:space="preserve">Competencia(s)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6645"/>
        <w:tblGridChange w:id="0">
          <w:tblGrid>
            <w:gridCol w:w="2715"/>
            <w:gridCol w:w="664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Tipo de Competencia </w:t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General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Competencia Específica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0" w:line="240" w:lineRule="auto"/>
              <w:rPr>
                <w:rFonts w:ascii="Times New Roman" w:cs="Times New Roman" w:eastAsia="Times New Roman" w:hAnsi="Times New Roman"/>
                <w:color w:val="cccccc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cccccc"/>
                <w:rtl w:val="0"/>
              </w:rPr>
              <w:t xml:space="preserve">Implementa técnicas de modelado y normalización de bases de datos para optimizar la estructura de almacenamiento de información garantizando la integridad y consistencia de los datos </w:t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numPr>
          <w:ilvl w:val="0"/>
          <w:numId w:val="1"/>
        </w:numPr>
        <w:ind w:left="720" w:hanging="360"/>
        <w:rPr>
          <w:u w:val="none"/>
        </w:rPr>
      </w:pPr>
      <w:bookmarkStart w:colFirst="0" w:colLast="0" w:name="_33ath0p4jju6" w:id="5"/>
      <w:bookmarkEnd w:id="5"/>
      <w:r w:rsidDel="00000000" w:rsidR="00000000" w:rsidRPr="00000000">
        <w:rPr>
          <w:rtl w:val="0"/>
        </w:rPr>
        <w:t xml:space="preserve">ABSTRACT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  <w:t xml:space="preserve">Este documento explora los pilares fundamentales para la gestión y diseño de bases de datos relacionales utilizando SQL (Structured Query Language). Se aborda desde la estructura básica, incluyendo la definición de tablas, claves primarias y foráneas, hasta la implementación de lógica de negocio robusta mediante funciones y procedimientos almacenados bajo el estándar ANSI. Se enfatiza la importancia de la normalización (1FN, 2FN, 3FN) como principio de diseño esencial para garantizar la integridad de los datos y reducir la redundancia. Finalmente, se contextualiza la aplicación de estos conceptos en el ecosistema de herramientas SGBD (Sistemas Gestores de Bases de Datos) más comunes, como PostgreSQL, MySQL, Oracle y SQL Server, demostrando cómo estos elementos convergen en soluciones prácticas y eficientes.</w:t>
      </w:r>
    </w:p>
    <w:p w:rsidR="00000000" w:rsidDel="00000000" w:rsidP="00000000" w:rsidRDefault="00000000" w:rsidRPr="00000000" w14:paraId="0000002C">
      <w:pPr>
        <w:pStyle w:val="Heading1"/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bookmarkStart w:colFirst="0" w:colLast="0" w:name="_noueqo9zxgwq" w:id="6"/>
      <w:bookmarkEnd w:id="6"/>
      <w:r w:rsidDel="00000000" w:rsidR="00000000" w:rsidRPr="00000000">
        <w:rPr>
          <w:rtl w:val="0"/>
        </w:rPr>
        <w:t xml:space="preserve">CONTENIDO (TEMAS  / SUBTEMAS)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Introducción a SQL y los SGBD Relacionales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Conceptos Fundamentales de la Estructura de Datos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Tablas, filas y columnas</w:t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Primarias (Primary Keys)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Claves Foráneas (Foreign Keys) y relaciones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Consultas básicas (SELECT, INSERT, UPDATE, DELETE)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Principios Básicos de Normalización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problema de la redundancia y las anomalías.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Primera Forma Normal (1FN): Atomicidad.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Segunda Forma Normal (2FN): Eliminación de dependencias parciales.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Tercera Forma Normal (3FN): Eliminación de dependencias transitivas.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de Negocio en la Base de Datos: Estándar ANSI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Funciones SQL (que retornan valores).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Creación y uso de Procedimientos Almacenados (que ejecutan acciones).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Ecosistema de Herramientas SQL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Comparativa breve: PostgreSQL, MySQL, Oracle y SQL Server.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Dialectos SQL (PL/pgSQL, T-SQL, PL/SQL) vs. Estándar ANSI.</w:t>
      </w:r>
    </w:p>
    <w:p w:rsidR="00000000" w:rsidDel="00000000" w:rsidP="00000000" w:rsidRDefault="00000000" w:rsidRPr="00000000" w14:paraId="0000003E">
      <w:pPr>
        <w:rPr>
          <w:color w:val="cccc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jc w:val="both"/>
        <w:rPr>
          <w:color w:val="039be5"/>
        </w:rPr>
      </w:pPr>
      <w:r w:rsidDel="00000000" w:rsidR="00000000" w:rsidRPr="00000000">
        <w:rPr>
          <w:color w:val="039be5"/>
          <w:sz w:val="36"/>
          <w:szCs w:val="36"/>
          <w:rtl w:val="0"/>
        </w:rPr>
        <w:t xml:space="preserve">4. Palabras clave / Glosario</w:t>
      </w:r>
      <w:r w:rsidDel="00000000" w:rsidR="00000000" w:rsidRPr="00000000">
        <w:rPr>
          <w:color w:val="0b5394"/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SQL (Structured Query Language)</w:t>
      </w:r>
      <w:r w:rsidDel="00000000" w:rsidR="00000000" w:rsidRPr="00000000">
        <w:rPr>
          <w:rtl w:val="0"/>
        </w:rPr>
        <w:t xml:space="preserve">: Lenguaje estándar utilizado para consultar, manipular y definir bases de datos relacionales.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ANSI (American National Standards Institute)</w:t>
      </w:r>
      <w:r w:rsidDel="00000000" w:rsidR="00000000" w:rsidRPr="00000000">
        <w:rPr>
          <w:rtl w:val="0"/>
        </w:rPr>
        <w:t xml:space="preserve">: Organización que establece estándares, incluyendo el de SQL, para promover la portabilidad del código entre diferentes SGBD.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SGBD (Sistema Gestor de Base de Datos)</w:t>
      </w:r>
      <w:r w:rsidDel="00000000" w:rsidR="00000000" w:rsidRPr="00000000">
        <w:rPr>
          <w:rtl w:val="0"/>
        </w:rPr>
        <w:t xml:space="preserve">: Software que permite crear, administrar y mantener bases de datos (Ej: PostgreSQL, MySQL).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Primaria (Primary Key)</w:t>
      </w:r>
      <w:r w:rsidDel="00000000" w:rsidR="00000000" w:rsidRPr="00000000">
        <w:rPr>
          <w:rtl w:val="0"/>
        </w:rPr>
        <w:t xml:space="preserve">: Columna o conjunto de columnas que identifican de forma única cada fila en una tabla. No puede ser nula.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Clave Foránea (Foreign Key)</w:t>
      </w:r>
      <w:r w:rsidDel="00000000" w:rsidR="00000000" w:rsidRPr="00000000">
        <w:rPr>
          <w:rtl w:val="0"/>
        </w:rPr>
        <w:t xml:space="preserve">: Columna o conjunto de columnas en una tabla que hacen referencia a la Clave Primaria de otra tabla, estableciendo la integridad referencial.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Normalización</w:t>
      </w:r>
      <w:r w:rsidDel="00000000" w:rsidR="00000000" w:rsidRPr="00000000">
        <w:rPr>
          <w:rtl w:val="0"/>
        </w:rPr>
        <w:t xml:space="preserve">: Proceso de diseño de bases de datos que busca organizar los datos de manera eficiente, minimizando la redundancia y previniendo anomalías de actualización, inserción o borrado.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1FN (Primera Forma Normal):</w:t>
      </w:r>
      <w:r w:rsidDel="00000000" w:rsidR="00000000" w:rsidRPr="00000000">
        <w:rPr>
          <w:rtl w:val="0"/>
        </w:rPr>
        <w:t xml:space="preserve"> Estado de una tabla donde todos los valores de sus columnas son atómicos (indivisibles) y no hay grupos repetitivos.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2FN (Segunda Forma Normal)</w:t>
      </w:r>
      <w:r w:rsidDel="00000000" w:rsidR="00000000" w:rsidRPr="00000000">
        <w:rPr>
          <w:rtl w:val="0"/>
        </w:rPr>
        <w:t xml:space="preserve">: Cumple con 1FN y, adicionalmente, todas las columnas no clave dependen funcionalmente de la totalidad de la clave primaria (relevante en claves primarias compuestas).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3FN (Tercera Forma Normal)</w:t>
      </w:r>
      <w:r w:rsidDel="00000000" w:rsidR="00000000" w:rsidRPr="00000000">
        <w:rPr>
          <w:rtl w:val="0"/>
        </w:rPr>
        <w:t xml:space="preserve">: Cumple con 2FN y, adicionalmente, ninguna columna no clave depende transitivamente de otra columna no clave.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Función (SQL)</w:t>
      </w:r>
      <w:r w:rsidDel="00000000" w:rsidR="00000000" w:rsidRPr="00000000">
        <w:rPr>
          <w:rtl w:val="0"/>
        </w:rPr>
        <w:t xml:space="preserve">: Un bloque de código SQL que recibe parámetros, realiza un cálculo y obligatoriamente retorna un valor. Puede ser usada dentro de consultas SELECT.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Procedimiento Almacenado (Stored Procedure)</w:t>
      </w:r>
      <w:r w:rsidDel="00000000" w:rsidR="00000000" w:rsidRPr="00000000">
        <w:rPr>
          <w:rtl w:val="0"/>
        </w:rPr>
        <w:t xml:space="preserve">: Un bloque de código SQL precompilado almacenado en la base de datos que ejecuta una secuencia de acciones (lógica de negocio, inserciones, actualizaciones). Puede recibir parámetros y puede o no retornar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color w:val="039be5"/>
          <w:sz w:val="36"/>
          <w:szCs w:val="36"/>
        </w:rPr>
      </w:pPr>
      <w:bookmarkStart w:colFirst="0" w:colLast="0" w:name="_qes8u4kmfipu" w:id="7"/>
      <w:bookmarkEnd w:id="7"/>
      <w:r w:rsidDel="00000000" w:rsidR="00000000" w:rsidRPr="00000000">
        <w:rPr>
          <w:color w:val="039be5"/>
          <w:sz w:val="36"/>
          <w:szCs w:val="36"/>
          <w:rtl w:val="0"/>
        </w:rPr>
        <w:t xml:space="preserve">5. </w:t>
      </w:r>
      <w:r w:rsidDel="00000000" w:rsidR="00000000" w:rsidRPr="00000000">
        <w:rPr>
          <w:color w:val="039be5"/>
          <w:sz w:val="36"/>
          <w:szCs w:val="36"/>
          <w:rtl w:val="0"/>
        </w:rPr>
        <w:t xml:space="preserve">Pongamos en Práctica la Teoría</w:t>
      </w:r>
    </w:p>
    <w:p w:rsidR="00000000" w:rsidDel="00000000" w:rsidP="00000000" w:rsidRDefault="00000000" w:rsidRPr="00000000" w14:paraId="0000004C">
      <w:pPr>
        <w:pStyle w:val="Heading3"/>
        <w:ind w:firstLine="720"/>
        <w:rPr>
          <w:color w:val="bf9000"/>
        </w:rPr>
      </w:pPr>
      <w:bookmarkStart w:colFirst="0" w:colLast="0" w:name="_xve4squfge4" w:id="8"/>
      <w:bookmarkEnd w:id="8"/>
      <w:r w:rsidDel="00000000" w:rsidR="00000000" w:rsidRPr="00000000">
        <w:rPr>
          <w:color w:val="bf9000"/>
          <w:rtl w:val="0"/>
        </w:rPr>
        <w:t xml:space="preserve">5.1. </w:t>
      </w:r>
      <w:r w:rsidDel="00000000" w:rsidR="00000000" w:rsidRPr="00000000">
        <w:rPr>
          <w:color w:val="bf9000"/>
          <w:rtl w:val="0"/>
        </w:rPr>
        <w:t xml:space="preserve">Caso de Estudio 1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  <w:t xml:space="preserve">Una empresa de distribución utilizaba un sistema antiguo donde todas las ventas se almacenaban en una única tabla gigante (FACTURACION_TOTAL). Esta tabla contenía datos repetidos del cliente (nombre, dirección, teléfono) y del producto (descripción, precio unitario) en cada fila de venta.</w:t>
      </w:r>
    </w:p>
    <w:p w:rsidR="00000000" w:rsidDel="00000000" w:rsidP="00000000" w:rsidRDefault="00000000" w:rsidRPr="00000000" w14:paraId="0000004E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Impacto del problema: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Redundancia masiva: El nombre y dirección de un cliente frecuente estaban duplicados cientos de veces.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actualización: Si un cliente cambiaba de número de teléfono, el equipo de TI tenía que actualizar cientos de registros, con alto riesgo de olvidar alguno, generando inconsistencia.</w:t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Anomalías de inserción: No se podía registrar un cliente nuevo si aún no había comprado nada.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Rendimiento: Las consultas (SELECT) para obtener el total de ventas de un mes eran extremadamente lentas (millones de filas).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Cómo se solventó y resultados obtenidos: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Herramienta: Se decidió migrar la base de datos a PostgreSQL por su robustez en el manejo de transacciones.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Normalización (1FN, 2FN, 3FN): Se rediseñó la estructura. La tabla monolítica se dividió en: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Clientes (Con id_cliente como Clave Primaria).</w:t>
      </w:r>
    </w:p>
    <w:p w:rsidR="00000000" w:rsidDel="00000000" w:rsidP="00000000" w:rsidRDefault="00000000" w:rsidRPr="00000000" w14:paraId="00000057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Productos (Con id_producto como Clave Primaria).</w:t>
      </w:r>
    </w:p>
    <w:p w:rsidR="00000000" w:rsidDel="00000000" w:rsidP="00000000" w:rsidRDefault="00000000" w:rsidRPr="00000000" w14:paraId="00000058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Facturas (Con id_factura como PK y id_cliente como Clave Foránea).</w:t>
      </w:r>
    </w:p>
    <w:p w:rsidR="00000000" w:rsidDel="00000000" w:rsidP="00000000" w:rsidRDefault="00000000" w:rsidRPr="00000000" w14:paraId="00000059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Detalle_Factura (Con id_factura e id_producto como PK compuesta y Claves Foráneas a sus respectivas tablas).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Lógica (Funciones y Procedimientos):</w:t>
      </w:r>
    </w:p>
    <w:p w:rsidR="00000000" w:rsidDel="00000000" w:rsidP="00000000" w:rsidRDefault="00000000" w:rsidRPr="00000000" w14:paraId="0000005B">
      <w:pPr>
        <w:numPr>
          <w:ilvl w:val="1"/>
          <w:numId w:val="7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una Función ANSI llamada CalcularIVATotal(monto_bruto DECIMAL) para estandarizar el cálculo de impuestos en todas las consultas.</w:t>
      </w:r>
    </w:p>
    <w:p w:rsidR="00000000" w:rsidDel="00000000" w:rsidP="00000000" w:rsidRDefault="00000000" w:rsidRPr="00000000" w14:paraId="0000005C">
      <w:pPr>
        <w:numPr>
          <w:ilvl w:val="1"/>
          <w:numId w:val="7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 creó un Procedimiento Almacenado llamado GenerarNuevaFactura(cliente_id, array_productos, array_cantidades) que, dentro de una transacción, insertaba la cabecera en Facturas y el detalle en Detalle_Factura, asegurando que la factura solo se creaba si todos los productos tenían stock (consultando la tabla Productos).</w:t>
      </w:r>
    </w:p>
    <w:p w:rsidR="00000000" w:rsidDel="00000000" w:rsidP="00000000" w:rsidRDefault="00000000" w:rsidRPr="00000000" w14:paraId="0000005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Resultados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Reducción del tamaño de la base de datos en un 60% al eliminar la redundancia.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Garantía de integridad de datos (un cliente solo existe una vez).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 consultas de reportes se aceleraron en un 400% gracias a la estructura normalizada.</w:t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 lógica de negocio quedó centralizada en el procedimiento, evitando que diferentes aplicaciones (la app de escritorio y el nuevo portal web) calcularan los totales de formas distintas.</w:t>
      </w:r>
    </w:p>
    <w:p w:rsidR="00000000" w:rsidDel="00000000" w:rsidP="00000000" w:rsidRDefault="00000000" w:rsidRPr="00000000" w14:paraId="00000062">
      <w:pPr>
        <w:ind w:left="0" w:firstLine="0"/>
        <w:rPr>
          <w:color w:val="b7b7b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480" w:line="300" w:lineRule="auto"/>
        <w:rPr/>
      </w:pPr>
      <w:bookmarkStart w:colFirst="0" w:colLast="0" w:name="_i85ws8se9wc5" w:id="9"/>
      <w:bookmarkEnd w:id="9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Conclusión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Fundamentos y Normalización: Son los cimientos arquitectónicos. Sin una estructura normalizada (3FN) que garantice la atomicidad y elimine la redundancia, cualquier lógica de negocio construida encima será frágil, lenta e inconsistente.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Funciones y Procedimientos (ANSI): Son la lógica de negocio centralizada. Mover las reglas críticas (como verificar inventario o calcular impuestos) del frontend al backend (la base de datos) asegura que la regla se aplique universalmente, sin importar cuántas aplicaciones consuman los datos.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before="0" w:beforeAutospacing="0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Herramientas (SGBD): Son la implementación práctica de estos conceptos. Aunque PostgreSQL, MySQL, Oracle y SQL Server tienen diferencias, todos proveen los mecanismos para implementar diseños normalizados y lógica almacenada, siendo la elección dependiente de factores como costo, escalabilidad y ecosistema existente.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footerReference r:id="rId11" w:type="first"/>
      <w:pgSz w:h="15840" w:w="12240" w:orient="portrait"/>
      <w:pgMar w:bottom="1440" w:top="1440" w:left="1440" w:right="1440" w:header="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Times New Roman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2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438150</wp:posOffset>
          </wp:positionV>
          <wp:extent cx="7781925" cy="409575"/>
          <wp:effectExtent b="0" l="0" r="0" t="0"/>
          <wp:wrapTopAndBottom distB="0" distT="0"/>
          <wp:docPr descr="pie de página" id="3" name="image3.png"/>
          <a:graphic>
            <a:graphicData uri="http://schemas.openxmlformats.org/drawingml/2006/picture">
              <pic:pic>
                <pic:nvPicPr>
                  <pic:cNvPr descr="pie de página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color w:val="666666"/>
        <w:sz w:val="20"/>
        <w:szCs w:val="20"/>
        <w:rtl w:val="0"/>
      </w:rPr>
      <w:t xml:space="preserve">Sistemas de Bases de Datos 2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1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horizontal line" id="8" name="image3.png"/>
          <a:graphic>
            <a:graphicData uri="http://schemas.openxmlformats.org/drawingml/2006/picture">
              <pic:pic>
                <pic:nvPicPr>
                  <pic:cNvPr descr="horizontal line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E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300" w:lineRule="auto"/>
      <w:rPr>
        <w:rFonts w:ascii="Proxima Nova" w:cs="Proxima Nova" w:eastAsia="Proxima Nova" w:hAnsi="Proxima Nova"/>
        <w:color w:val="666666"/>
        <w:sz w:val="20"/>
        <w:szCs w:val="20"/>
      </w:rPr>
    </w:pPr>
    <w:r w:rsidDel="00000000" w:rsidR="00000000" w:rsidRPr="00000000">
      <w:rPr>
        <w:rFonts w:ascii="Proxima Nova" w:cs="Proxima Nova" w:eastAsia="Proxima Nova" w:hAnsi="Proxima Nova"/>
        <w:color w:val="666666"/>
        <w:sz w:val="20"/>
        <w:szCs w:val="20"/>
      </w:rPr>
      <w:drawing>
        <wp:inline distB="114300" distT="114300" distL="114300" distR="114300">
          <wp:extent cx="447675" cy="57150"/>
          <wp:effectExtent b="0" l="0" r="0" t="0"/>
          <wp:docPr descr="línea corta" id="5" name="image2.png"/>
          <a:graphic>
            <a:graphicData uri="http://schemas.openxmlformats.org/drawingml/2006/picture">
              <pic:pic>
                <pic:nvPicPr>
                  <pic:cNvPr descr="línea cort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571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before="6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-919162</wp:posOffset>
          </wp:positionH>
          <wp:positionV relativeFrom="paragraph">
            <wp:posOffset>-66674</wp:posOffset>
          </wp:positionV>
          <wp:extent cx="7781925" cy="95250"/>
          <wp:effectExtent b="0" l="0" r="0" t="0"/>
          <wp:wrapTopAndBottom distB="0" distT="0"/>
          <wp:docPr descr="línea horizontal" id="4" name="image3.png"/>
          <a:graphic>
            <a:graphicData uri="http://schemas.openxmlformats.org/drawingml/2006/picture">
              <pic:pic>
                <pic:nvPicPr>
                  <pic:cNvPr descr="línea horizontal"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s"/>
      </w:rPr>
    </w:rPrDefault>
    <w:pPrDefault>
      <w:pPr>
        <w:spacing w:before="20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80" w:lineRule="auto"/>
    </w:pPr>
    <w:rPr>
      <w:color w:val="039be5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bf9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color w:val="008a0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440" w:line="240" w:lineRule="auto"/>
    </w:pPr>
    <w:rPr>
      <w:rFonts w:ascii="Proxima Nova" w:cs="Proxima Nova" w:eastAsia="Proxima Nova" w:hAnsi="Proxima Nova"/>
      <w:b w:val="1"/>
      <w:bCs w:val="1"/>
      <w:color w:val="404040"/>
      <w:sz w:val="96"/>
      <w:szCs w:val="9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lineRule="auto"/>
    </w:pPr>
    <w:rPr>
      <w:sz w:val="32"/>
      <w:szCs w:val="32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