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80"/>
          <w:szCs w:val="80"/>
        </w:rPr>
      </w:pPr>
      <w:bookmarkStart w:colFirst="0" w:colLast="0" w:name="_heading=h.sdfad5h6f2x9" w:id="0"/>
      <w:bookmarkEnd w:id="0"/>
      <w:r w:rsidDel="00000000" w:rsidR="00000000" w:rsidRPr="00000000">
        <w:rPr>
          <w:color w:val="f1c232"/>
          <w:sz w:val="80"/>
          <w:szCs w:val="80"/>
          <w:rtl w:val="0"/>
        </w:rPr>
        <w:t xml:space="preserve">Análisis semántico mediante esquemas de traducción dirigidos por la sintaxis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-693238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5swffbps4t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a8rh04tl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y2nwimti4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r3sa7b5m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ykqokgkp9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x06a1t90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1cqc7nk7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olpxrkh85p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f5nbres3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endpwfw0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a evaluar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8797qvqys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25swffbps4tv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5a8rh04tl4y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7235"/>
        <w:tblGridChange w:id="0">
          <w:tblGrid>
            <w:gridCol w:w="1985"/>
            <w:gridCol w:w="72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la actividad?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desarrolla correctamente las validaciones semánticas y entrega la actividad dentro del tiempo establecido.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Pensamiento 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analiza la compatibilidad de tipos y detecta errores semánticos en expresiones y asignaciones.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Orden y precisión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construye árboles sintácticos y reglas semánticas de forma clara y estructurada.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33y2nwimti4l" w:id="3"/>
      <w:bookmarkEnd w:id="3"/>
      <w:r w:rsidDel="00000000" w:rsidR="00000000" w:rsidRPr="00000000">
        <w:rPr>
          <w:color w:val="bf9000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el estudiante adquirirá las siguientes competencias: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 la semántica de un lenguaje de programación mediante la validación de tipos, alcance y estructuras de control para determinar la corrección de expresiones y sentencias.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Evalúa la representación semántica de expresiones mediante el análisis de tipos y reglas semánticas.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 estructuras de lenguaje mediante la aplicación de reglas formales para la generación y validación semántica de expresiones.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3nr3sa7b5mr2" w:id="4"/>
      <w:bookmarkEnd w:id="4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permitirá desarrollar las siguientes habilidades: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lógico y analítico.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 abstracción.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Interpretación de estructuras formales.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Organización y representación gráfica de árboles sintácticos.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4"/>
        </w:numPr>
        <w:spacing w:before="0" w:line="24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dsykqokgkp9p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heading=h.gx06a1t901f" w:id="6"/>
      <w:bookmarkEnd w:id="6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Verificar semánticamente instrucciones y expresiones mediante reglas de tipos y esquemas de traducción dirigidos por la sintaxis.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correctamente dos instrucciones y construir los árboles sintácticos correspondientes.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Aplicando reglas semánticas, tablas de símbolos y derivaciones sintácticas vistas en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comprender cómo los compiladores validan tipos y detectan errores semánticos durante el análisis de programas.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asignado de laboratorio/clase (40 minutos).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wd1cqc7nk7cc" w:id="7"/>
      <w:bookmarkEnd w:id="7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0">
      <w:pPr>
        <w:pStyle w:val="Heading1"/>
        <w:numPr>
          <w:ilvl w:val="1"/>
          <w:numId w:val="4"/>
        </w:numPr>
        <w:spacing w:after="0" w:afterAutospacing="0" w:before="0" w:lineRule="auto"/>
        <w:ind w:left="1440" w:hanging="360"/>
        <w:rPr>
          <w:color w:val="bf9000"/>
        </w:rPr>
      </w:pPr>
      <w:bookmarkStart w:colFirst="0" w:colLast="0" w:name="_heading=h.rolpxrkh85pq" w:id="8"/>
      <w:bookmarkEnd w:id="8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Cuaderno o documento digital.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de texto o IDE simple.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de apoyo proporcionado en clase.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Diapositivas sobre análisis semántico y tablas de símbolos.</w:t>
      </w:r>
    </w:p>
    <w:p w:rsidR="00000000" w:rsidDel="00000000" w:rsidP="00000000" w:rsidRDefault="00000000" w:rsidRPr="00000000" w14:paraId="00000045">
      <w:pPr>
        <w:pStyle w:val="Heading1"/>
        <w:numPr>
          <w:ilvl w:val="1"/>
          <w:numId w:val="4"/>
        </w:numPr>
        <w:spacing w:after="0" w:lineRule="auto"/>
        <w:ind w:left="1440" w:hanging="360"/>
        <w:rPr>
          <w:color w:val="bf9000"/>
        </w:rPr>
      </w:pPr>
      <w:bookmarkStart w:colFirst="0" w:colLast="0" w:name="_heading=h.ilf5nbres3g7" w:id="9"/>
      <w:bookmarkEnd w:id="9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desarrollará un ejercicio práctico de análisis semántico utilizando una gramática simplificada y reglas de verificación de tipos. A partir de las producciones proporcionadas, deberá determinar si las instrucciones dadas son semánticamente válidas según el tipo declarado y el tipo resultante de las expresiones evaluadas.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Gramática base: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sdt>
        <w:sdtPr>
          <w:id w:val="580916228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 → type id = E</w:t>
          </w:r>
        </w:sdtContent>
      </w:sdt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sdt>
        <w:sdtPr>
          <w:id w:val="2128033001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type → int | float | bool</w:t>
          </w:r>
        </w:sdtContent>
      </w:sdt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sdt>
        <w:sdtPr>
          <w:id w:val="1731732354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E → E + T 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E - T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sdt>
        <w:sdtPr>
          <w:id w:val="-1099749712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T → T * F </w:t>
          </w:r>
        </w:sdtContent>
      </w:sdt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T / F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F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</w:rPr>
      </w:pPr>
      <w:sdt>
        <w:sdtPr>
          <w:id w:val="-1873390317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F → id </w:t>
          </w:r>
        </w:sdtContent>
      </w:sdt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num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real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true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false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| ( E 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Determinar el tipo resultante de cada expresión.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existe compatibilidad entre el tipo declarado y el tipo calculado.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errores semánticos cuando exista incompatibilidad de tipos.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Dibujar el árbol de análisis sintáctico para las entradas proporcionadas.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brevemente el resultado obtenido en cada caso.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cendpwfw02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a evaluar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si la instrucción es semánticamente correcta: 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int x = 3 + 5 * 2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Determinar si existe error semántico por incompatibilidad de tipos: 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bool bandera = 4 + 2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Dibujar el árbol de análisis sintáctico de ambas entradas.</w:t>
      </w:r>
    </w:p>
    <w:p w:rsidR="00000000" w:rsidDel="00000000" w:rsidP="00000000" w:rsidRDefault="00000000" w:rsidRPr="00000000" w14:paraId="00000061">
      <w:pPr>
        <w:pStyle w:val="Heading1"/>
        <w:numPr>
          <w:ilvl w:val="1"/>
          <w:numId w:val="4"/>
        </w:numPr>
        <w:spacing w:after="0" w:afterAutospacing="0"/>
        <w:ind w:left="1440" w:hanging="360"/>
        <w:rPr>
          <w:color w:val="bf9000"/>
        </w:rPr>
      </w:pPr>
      <w:bookmarkStart w:colFirst="0" w:colLast="0" w:name="_heading=h.q48797qvqys4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de clase sobre análisis semántico.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Esquemas de traducción dirigidos por la sintaxis.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Reglas de compatibilidad de tipos.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de árboles de análisis sintáctico.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Aho, A. V., Lam, M. S., Sethi, R., &amp; Ullman, J. D. (2008). Compiladores: Principios, técnicas y herramientas (2.ª ed.). Pearson Educación.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Organización de Lenguajes y Compiladores 2</w:t>
    </w:r>
  </w:p>
  <w:p w:rsidR="00000000" w:rsidDel="00000000" w:rsidP="00000000" w:rsidRDefault="00000000" w:rsidRPr="00000000" w14:paraId="00000068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Style w:val="Title"/>
      <w:rPr/>
    </w:pPr>
    <w:bookmarkStart w:colFirst="0" w:colLast="0" w:name="_heading=h.35tgen4mjpmc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TF1KCJj2oJsjpVDwaf27BZyZ1Q==">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