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874.0" w:type="dxa"/>
        <w:jc w:val="left"/>
        <w:tblInd w:w="21.0" w:type="dxa"/>
        <w:tblLayout w:type="fixed"/>
        <w:tblLook w:val="0000"/>
      </w:tblPr>
      <w:tblGrid>
        <w:gridCol w:w="1440"/>
        <w:gridCol w:w="1255"/>
        <w:gridCol w:w="7179"/>
        <w:tblGridChange w:id="0">
          <w:tblGrid>
            <w:gridCol w:w="1440"/>
            <w:gridCol w:w="1255"/>
            <w:gridCol w:w="7179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Arial" w:cs="Arial" w:eastAsia="Arial" w:hAnsi="Arial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72465" cy="91376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" cy="913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8000"/>
                <w:rtl w:val="0"/>
              </w:rPr>
              <w:t xml:space="preserve">Diseño de Contenido Curricular </w:t>
            </w:r>
          </w:p>
        </w:tc>
      </w:tr>
      <w:tr>
        <w:trPr>
          <w:cantSplit w:val="0"/>
          <w:trHeight w:val="56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ff8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Curso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781 - Organización de Lenguajes y Compiladores 2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Semana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90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jc w:val="left"/>
        <w:rPr>
          <w:rFonts w:ascii="Arial" w:cs="Arial" w:eastAsia="Arial" w:hAnsi="Arial"/>
          <w:b w:val="1"/>
          <w:bCs w:val="1"/>
          <w:color w:val="ff8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Presentación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del valor y anuncios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Rigor y Precisión Técnica</w:t>
              <w:tab/>
              <w:tab/>
              <w:tab/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Analiza la semántica de un lenguaje de programación mediante la validación de tipos, alcance y estructuras de control para determinar la corrección de expresiones y sentencias </w:t>
              <w:tab/>
              <w:tab/>
            </w:r>
          </w:p>
        </w:tc>
      </w:tr>
    </w:tbl>
    <w:p w:rsidR="00000000" w:rsidDel="00000000" w:rsidP="00000000" w:rsidRDefault="00000000" w:rsidRPr="00000000" w14:paraId="0000001C">
      <w:pPr>
        <w:rPr>
          <w:rFonts w:ascii="Arial" w:cs="Arial" w:eastAsia="Arial" w:hAnsi="Arial"/>
          <w:b w:val="1"/>
          <w:bCs w:val="1"/>
          <w:color w:val="ff800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2. Contenido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9fcf"/>
                <w:sz w:val="26"/>
                <w:szCs w:val="26"/>
                <w:rtl w:val="0"/>
              </w:rPr>
              <w:t xml:space="preserve">  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1F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25min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0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Sintáctico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Atributos Sintetizados y Heredados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Repaso 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Esquemas de traducción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Análisis semántico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Tabla de símbolos</w:t>
            </w:r>
          </w:p>
          <w:p w:rsidR="00000000" w:rsidDel="00000000" w:rsidP="00000000" w:rsidRDefault="00000000" w:rsidRPr="00000000" w14:paraId="0000002B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Entornos</w:t>
            </w:r>
          </w:p>
          <w:p w:rsidR="00000000" w:rsidDel="00000000" w:rsidP="00000000" w:rsidRDefault="00000000" w:rsidRPr="00000000" w14:paraId="0000002C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Validación de tipos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3. Implementación Práctica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729fcf"/>
                <w:sz w:val="26"/>
                <w:szCs w:val="26"/>
                <w:rtl w:val="0"/>
              </w:rPr>
              <w:t xml:space="preserve">                                            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31">
            <w:pPr>
              <w:widowControl w:val="0"/>
              <w:jc w:val="right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30min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2">
            <w:pPr>
              <w:widowControl w:val="0"/>
              <w:jc w:val="right"/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Detalles técnicos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Patron Visitor</w:t>
            </w:r>
          </w:p>
          <w:p w:rsidR="00000000" w:rsidDel="00000000" w:rsidP="00000000" w:rsidRDefault="00000000" w:rsidRPr="00000000" w14:paraId="00000037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Tipado estático en Python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Ejemplo práctico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TypeChecker Visitor</w:t>
            </w:r>
          </w:p>
        </w:tc>
      </w:tr>
    </w:tbl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72.0" w:type="dxa"/>
        <w:jc w:val="left"/>
        <w:tblLayout w:type="fixed"/>
        <w:tblLook w:val="0000"/>
      </w:tblPr>
      <w:tblGrid>
        <w:gridCol w:w="3235"/>
        <w:gridCol w:w="6031"/>
        <w:gridCol w:w="706"/>
        <w:tblGridChange w:id="0">
          <w:tblGrid>
            <w:gridCol w:w="3235"/>
            <w:gridCol w:w="6031"/>
            <w:gridCol w:w="706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4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465a4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.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465a4"/>
                <w:sz w:val="26"/>
                <w:szCs w:val="26"/>
                <w:rtl w:val="0"/>
              </w:rPr>
              <w:t xml:space="preserve">Lectura del Enunciado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729fc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                                      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  </w:t>
            </w:r>
          </w:p>
        </w:tc>
        <w:tc>
          <w:tcPr>
            <w:shd w:fill="2a6099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30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min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999999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exceder el tiempo establecido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Resolución de dudas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134" w:top="1693" w:left="1134" w:right="1134" w:header="1134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Serif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986"/>
        <w:tab w:val="right" w:leader="none" w:pos="9972"/>
      </w:tabs>
      <w:spacing w:after="0" w:before="0" w:line="240" w:lineRule="auto"/>
      <w:ind w:left="0" w:right="0" w:firstLine="0"/>
      <w:jc w:val="left"/>
      <w:rPr>
        <w:rFonts w:ascii="Liberation Serif" w:cs="Liberation Serif" w:eastAsia="Liberation Serif" w:hAnsi="Liberation Serif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YR9qB2jdIqs+5LKHFH5HAIh2WA==">CgMxLjA4AHIhMXlWYlVDUDNrMi1rSHNBd2VUa3Roc2pMUkE3RUp0VG9X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