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Ética en la Gestión de Errores y Robustez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 </w:t>
              <w:tab/>
              <w:tab/>
              <w:tab/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Contenido            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Semántico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before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Tipado Dinámico</w:t>
              <w:tab/>
              <w:tab/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Sentencias y Expresiones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Expresiones y Sentencias</w:t>
              <w:tab/>
              <w:tab/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Estructuras de Control</w:t>
              <w:tab/>
              <w:tab/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Recuperación de Errores</w:t>
              <w:tab/>
              <w:tab/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Ejemplo Práctico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40min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Detalles técnicos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Patron Visitor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Tipado estático y dinámico en Python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 práctico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y validación de tipos</w:t>
            </w:r>
          </w:p>
          <w:p w:rsidR="00000000" w:rsidDel="00000000" w:rsidP="00000000" w:rsidRDefault="00000000" w:rsidRPr="00000000" w14:paraId="00000039">
            <w:pPr>
              <w:widowControl w:val="0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Introducción Tabla de Simbolos</w:t>
            </w:r>
          </w:p>
        </w:tc>
      </w:tr>
    </w:tbl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iUVldbZN+V9DMTLqDhrukIWVw==">CgMxLjA4AHIhMWJHcnF6ZkY2Q3hCc2llSjAzdGNrZXhYMk9UaG5PWUl4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