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las equivalencias sintácticas y semánticas de un lenguaje de alto nivel mediante el mapeo de 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construcciones a instrucciones de Representación Intermedia tales como C3D, cuádruplas o Bytecode.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2880"/>
        <w:gridCol w:w="6390"/>
        <w:gridCol w:w="705"/>
        <w:tblGridChange w:id="0">
          <w:tblGrid>
            <w:gridCol w:w="2880"/>
            <w:gridCol w:w="639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Representaciones intermedias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de 3 direcciones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Concepto, definición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Byte code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Concepto, definición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2820"/>
        <w:gridCol w:w="6450"/>
        <w:gridCol w:w="705"/>
        <w:tblGridChange w:id="0">
          <w:tblGrid>
            <w:gridCol w:w="2820"/>
            <w:gridCol w:w="645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Repaso CD3         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 de traducción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Gramática, atributos y acciones semánticas.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Recorrido del árbol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Parseo y dibujo del árbol de análisis sintáctico.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en PLY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Marcadores, generación de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Comprobación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Verificación de código generado.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Práctica                 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Esamblador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Aspectos claves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de ARM64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 repositorio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Nuevo visitor (compiler) + Clase Builder (arm64)</w:t>
            </w:r>
          </w:p>
        </w:tc>
      </w:tr>
    </w:tbl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Horarios de calificación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Horarios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WB7fGomcS2ox1WeWvxHESE5rdBujPMW-mujT8dbnCm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pbIx+EAzXv3E6/u+q9cjvd3KA==">CgMxLjA4AHIhMUZkdVpSZXRLcjlhclgyNHZMXzJNcnVibnh6VHVHV29i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