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15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Optimización del Ciclo de Vida de las Aplicaciones en Arquitectura de Software mediante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Gestión de Datos y Configuración en Entornos DevOps y Sistemas Distribuidos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Adquirir un entendimiento de los formatos de datos más comunes para mejorar la interoperabilidad entre servicios y facilitar la configuración de infraestructuras, promoviendo una integración más fluida y eficiente en sistemas distribuidos.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Aprender la relevancia del registro de eventos en entornos de contenedores para monitorear y gestionar el comportamiento de aplicaciones, lo que facilita el diagnóstico y mantenimiento en sistemas distribuidos.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Aprender la importancia de la arquitectura de la información bien estructurada.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Colaborar en un entorno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464727285268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los Formatos de Datos: JSON, XML y YAML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09.437757583073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JSON en Sistemas Distribuidos y Comunicación entre Servicios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9.437757583073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XML en la Configuración y Comunicación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19.614835673585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YAML para Configuración de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9.437757583073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Logging en Contenedores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19.614835673585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en DevOps (DevSecOps)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Contenedores y Orquestación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43:23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1" w:date="2024-11-13T21:43:23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2" w:date="2024-11-13T21:43:23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3" w:date="2024-11-13T21:43:23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4" w:date="2024-11-13T21:43:23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5" w:date="2024-11-13T21:43:2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  <w:comment w:author="Claudia Rojas" w:id="6" w:date="2024-11-13T21:43:23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 integrador con la semana anterior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F" w15:done="0"/>
  <w15:commentEx w15:paraId="00000090" w15:done="0"/>
  <w15:commentEx w15:paraId="00000091" w15:done="0"/>
  <w15:commentEx w15:paraId="00000092" w15:done="0"/>
  <w15:commentEx w15:paraId="00000093" w15:done="0"/>
  <w15:commentEx w15:paraId="00000094" w15:done="0"/>
  <w15:commentEx w15:paraId="0000009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SNjUKEzYPDGAf/Qcks+VcUaNw==">CgMxLjAaJwoBMBIiCiAIBCocCgtBQUFCVkNYVmcwTRAIGgtBQUFCVkNYVmcwTRonCgExEiIKIAgEKhwKC0FBQUJWQ1hWZzBNEAgaC0FBQUJWQ1hWZzBNGicKATISIgogCAQqHAoLQUFBQlZDWFZnME0QCBoLQUFBQlZDWFZnME0aJwoBMxIiCiAIBCocCgtBQUFCVkNYVmcwTRAIGgtBQUFCVkNYVmcwTRonCgE0EiIKIAgEKhwKC0FBQUJWQ1hWZzBNEAgaC0FBQUJWQ1hWZzBNGicKATUSIgogCAQqHAoLQUFBQlZDWFZnME0QCBoLQUFBQlZDWFZnME0aJwoBNhIiCiAIBCocCgtBQUFCVkNYVmcwTRAIGgtBQUFCVkNYVmcwTSKPAwoLQUFBQlZDWFZnME0S3QIKC0FBQUJWQ1hWZzBNEgtBQUFCVkNYVmcwTRo7Cgl0ZXh0L2h0bWwSLkNhc28gZWplbXBsbyBpbnRlZ3JhZG9yIGNvbiBsYSBzZW1hbmEgYW50ZXJpb3IiPAoKdGV4dC9wbGFpbhIuQ2FzbyBlamVtcGxvIGludGVncmFkb3IgY29uIGxhIHNlbWFuYSBhbnRlcmlvciobIhUxMDczMjQyNDYzNTMyMTA0NDg3NDYoADgAMMHR7LuyMjjB0ey7sjJKRQoKdGV4dC9wbGFpbhI3SW50cm9kdWNjacOzbiBhIGxvcyBGb3JtYXRvcyBkZSBEYXRvczogSlNPTiwgWE1MIHkgWUFNTFoMdjNwcDFwbGR4emNncgIgAHgAmgEGCAAQABgAqgEwEi5DYXNvIGVqZW1wbG8gaW50ZWdyYWRvciBjb24gbGEgc2VtYW5hIGFudGVyaW9ysAEAuAEAGMHR7LuyMiDB0ey7sjIwAEIQa2l4LnFhNXIyZ2o2dGQ4MzgAciExQVRkQkU4OHlCTDJPQVNXYjRaMGJxQUNYZTYtbERad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