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Aplicación de Patrones de Arquitectura para el Diseño y Desarrollo de Software Eficiente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Patrones de arquitectura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Diseñar arquitecturas híbridas que integren SOA y microservicios para combinar lo mejor de ambas tecnologías en entornos empresariales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Implementar patrones de arquitectura serverless para desplegar aplicaciones escalables en la nube y optimizar la utilización de recursos bajo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arquitectura basada en principios sólidos de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Desplegar aplicaciones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Arquitecturas híbridas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SOA y microservicios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Patrones de integración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Serverless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30:21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de las semanas anteriores en temas relacionados con estilos arquitectónicos. Revisar lo que se da en clase para no presentar contradicción.  Que sea apoyo con ejemplos grandes y prácticos.</w:t>
      </w:r>
    </w:p>
  </w:comment>
  <w:comment w:author="Claudia Rojas" w:id="1" w:date="2024-11-13T21:30:21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de las semanas anteriores en temas relacionados con estilos arquitectónicos. Revisar lo que se da en clase para no presentar contradicción.  Que sea apoyo con ejemplos grandes y prácticos.</w:t>
      </w:r>
    </w:p>
  </w:comment>
  <w:comment w:author="Claudia Rojas" w:id="2" w:date="2024-11-13T21:30:21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de las semanas anteriores en temas relacionados con estilos arquitectónicos. Revisar lo que se da en clase para no presentar contradicción.  Que sea apoyo con ejemplos grandes y prácticos.</w:t>
      </w:r>
    </w:p>
  </w:comment>
  <w:comment w:author="Claudia Rojas" w:id="3" w:date="2024-11-13T21:30:21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de las semanas anteriores en temas relacionados con estilos arquitectónicos. Revisar lo que se da en clase para no presentar contradicción.  Que sea apoyo con ejemplos grandes y prácticos.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7" w15:done="0"/>
  <w15:commentEx w15:paraId="00000068" w15:done="0"/>
  <w15:commentEx w15:paraId="00000069" w15:done="0"/>
  <w15:commentEx w15:paraId="0000006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6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ASooFFQ03hf2kF1z66Fxpf7vsA==">CgMxLjAaJwoBMBIiCiAIBCocCgtBQUFCVkNZeUlrZxAIGgtBQUFCVkNZeUlrZxonCgExEiIKIAgEKhwKC0FBQUJWQ1l5SWtnEAgaC0FBQUJWQ1l5SWtnGicKATISIgogCAQqHAoLQUFBQlZDWXlJa2cQCBoLQUFBQlZDWXlJa2caJwoBMxIiCiAIBCocCgtBQUFCVkNZeUlrZxAIGgtBQUFCVkNZeUlrZyLqBgoLQUFBQlZDWXlJa2cSuwYKC0FBQUJWQ1l5SWtnEgtBQUFCVkNZeUlrZxrmAQoJdGV4dC9odG1sEtgBQXRlbmRlciBhIG9ic2VydmFjaW9uZXMgZGUgbGFzIHNlbWFuYXMgYW50ZXJpb3JlcyBlbiB0ZW1hcyByZWxhY2lvbmFkb3MgY29uIGVzdGlsb3MgYXJxdWl0ZWN0w7NuaWNvcy4gUmV2aXNhciBsbyBxdWUgc2UgZGEgZW4gY2xhc2UgcGFyYSBubyBwcmVzZW50YXIgY29udHJhZGljY2nDs24uIMKgUXVlIHNlYSBhcG95byBjb24gZWplbXBsb3MgZ3JhbmRlcyB5IHByw6FjdGljb3MuIucBCgp0ZXh0L3BsYWluEtgBQXRlbmRlciBhIG9ic2VydmFjaW9uZXMgZGUgbGFzIHNlbWFuYXMgYW50ZXJpb3JlcyBlbiB0ZW1hcyByZWxhY2lvbmFkb3MgY29uIGVzdGlsb3MgYXJxdWl0ZWN0w7NuaWNvcy4gUmV2aXNhciBsbyBxdWUgc2UgZGEgZW4gY2xhc2UgcGFyYSBubyBwcmVzZW50YXIgY29udHJhZGljY2nDs24uIMKgUXVlIHNlYSBhcG95byBjb24gZWplbXBsb3MgZ3JhbmRlcyB5IHByw6FjdGljb3MuKhsiFTEwNzMyNDI0NjM1MzIxMDQ0ODc0NigAOAAwzvq8u7IyOM76vLuyMkolCgp0ZXh0L3BsYWluEhdBcnF1aXRlY3R1cmFzIGjDrWJyaWRhc1oMOGZsNjBlbzVhY3E1cgIgAHgAmgEGCAAQABgAqgHbARLYAUF0ZW5kZXIgYSBvYnNlcnZhY2lvbmVzIGRlIGxhcyBzZW1hbmFzIGFudGVyaW9yZXMgZW4gdGVtYXMgcmVsYWNpb25hZG9zIGNvbiBlc3RpbG9zIGFycXVpdGVjdMOzbmljb3MuIFJldmlzYXIgbG8gcXVlIHNlIGRhIGVuIGNsYXNlIHBhcmEgbm8gcHJlc2VudGFyIGNvbnRyYWRpY2Npw7NuLiDCoFF1ZSBzZWEgYXBveW8gY29uIGVqZW1wbG9zIGdyYW5kZXMgeSBwcsOhY3RpY29zLhjO+ry7sjIgzvq8u7IyQg9raXguOHUwMGZ1Y3d3cjY4AHIhMVFaZmIyNTU0Tm02LVVaVEZrQTgyc2RrZnJCX3VCc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