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39be5"/>
          <w:sz w:val="72"/>
          <w:szCs w:val="72"/>
        </w:rPr>
      </w:pPr>
      <w:r w:rsidDel="00000000" w:rsidR="00000000" w:rsidRPr="00000000">
        <w:rPr>
          <w:color w:val="039be5"/>
          <w:sz w:val="72"/>
          <w:szCs w:val="72"/>
          <w:rtl w:val="0"/>
        </w:rPr>
        <w:t xml:space="preserve">Desarrollo de Aplicaciones Low and No code con Power Automate y Power Apps</w:t>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34" name="image2.png"/>
            <a:graphic>
              <a:graphicData uri="http://schemas.openxmlformats.org/drawingml/2006/picture">
                <pic:pic>
                  <pic:nvPicPr>
                    <pic:cNvPr descr="línea corta" id="0" name="image2.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Marco Pablo Mazariegos Macario</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622300"/>
            <wp:effectExtent b="0" l="0" r="0" t="0"/>
            <wp:docPr id="3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3905250</wp:posOffset>
            </wp:positionH>
            <wp:positionV relativeFrom="paragraph">
              <wp:posOffset>419100</wp:posOffset>
            </wp:positionV>
            <wp:extent cx="300038" cy="300038"/>
            <wp:effectExtent b="0" l="0" r="0" t="0"/>
            <wp:wrapNone/>
            <wp:docPr id="4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00038" cy="300038"/>
                    </a:xfrm>
                    <a:prstGeom prst="rect"/>
                    <a:ln/>
                  </pic:spPr>
                </pic:pic>
              </a:graphicData>
            </a:graphic>
          </wp:anchor>
        </w:drawing>
      </w:r>
    </w:p>
    <w:p w:rsidR="00000000" w:rsidDel="00000000" w:rsidP="00000000" w:rsidRDefault="00000000" w:rsidRPr="00000000" w14:paraId="0000000A">
      <w:pPr>
        <w:jc w:val="center"/>
        <w:rPr>
          <w:sz w:val="28"/>
          <w:szCs w:val="28"/>
        </w:rPr>
      </w:pPr>
      <w:r w:rsidDel="00000000" w:rsidR="00000000" w:rsidRPr="00000000">
        <w:rPr>
          <w:sz w:val="28"/>
          <w:szCs w:val="28"/>
          <w:rtl w:val="0"/>
        </w:rPr>
        <w:t xml:space="preserve">Tiempo aproximado:        XX min</w:t>
      </w:r>
    </w:p>
    <w:p w:rsidR="00000000" w:rsidDel="00000000" w:rsidP="00000000" w:rsidRDefault="00000000" w:rsidRPr="00000000" w14:paraId="0000000B">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C">
      <w:pPr>
        <w:rPr/>
      </w:pPr>
      <w:r w:rsidDel="00000000" w:rsidR="00000000" w:rsidRPr="00000000">
        <w:rPr>
          <w:rtl w:val="0"/>
        </w:rPr>
        <w:t xml:space="preserve">Facultad de ingeniería.</w:t>
      </w:r>
    </w:p>
    <w:p w:rsidR="00000000" w:rsidDel="00000000" w:rsidP="00000000" w:rsidRDefault="00000000" w:rsidRPr="00000000" w14:paraId="0000000D">
      <w:pPr>
        <w:rPr>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numPr>
          <w:ilvl w:val="0"/>
          <w:numId w:val="2"/>
        </w:numPr>
        <w:ind w:left="720" w:hanging="360"/>
        <w:rPr/>
      </w:pPr>
      <w:bookmarkStart w:colFirst="0" w:colLast="0" w:name="_heading=h.pmehii1b0f1n" w:id="0"/>
      <w:bookmarkEnd w:id="0"/>
      <w:r w:rsidDel="00000000" w:rsidR="00000000" w:rsidRPr="00000000">
        <w:rPr>
          <w:rtl w:val="0"/>
        </w:rPr>
        <w:t xml:space="preserve">MARCO FORMATIVO </w:t>
      </w:r>
    </w:p>
    <w:p w:rsidR="00000000" w:rsidDel="00000000" w:rsidP="00000000" w:rsidRDefault="00000000" w:rsidRPr="00000000" w14:paraId="0000000F">
      <w:pPr>
        <w:pStyle w:val="Heading2"/>
        <w:numPr>
          <w:ilvl w:val="1"/>
          <w:numId w:val="2"/>
        </w:numPr>
        <w:spacing w:before="0" w:lineRule="auto"/>
        <w:ind w:left="1440" w:hanging="360"/>
        <w:rPr/>
      </w:pPr>
      <w:bookmarkStart w:colFirst="0" w:colLast="0" w:name="_heading=h.zdib7p8ggq31" w:id="1"/>
      <w:bookmarkEnd w:id="1"/>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0">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1">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2">
            <w:pPr>
              <w:widowControl w:val="0"/>
              <w:spacing w:before="0" w:line="240" w:lineRule="auto"/>
              <w:rPr>
                <w:color w:val="039be5"/>
                <w:sz w:val="36"/>
                <w:szCs w:val="36"/>
              </w:rPr>
            </w:pPr>
            <w:r w:rsidDel="00000000" w:rsidR="00000000" w:rsidRPr="00000000">
              <w:rPr>
                <w:color w:val="039be5"/>
                <w:sz w:val="36"/>
                <w:szCs w:val="36"/>
                <w:rtl w:val="0"/>
              </w:rPr>
              <w:t xml:space="preserve">Empatía</w:t>
            </w:r>
          </w:p>
        </w:tc>
        <w:tc>
          <w:tcPr>
            <w:tcMar>
              <w:top w:w="100.0" w:type="dxa"/>
              <w:left w:w="100.0" w:type="dxa"/>
              <w:bottom w:w="100.0" w:type="dxa"/>
              <w:right w:w="100.0" w:type="dxa"/>
            </w:tcMar>
          </w:tcPr>
          <w:p w:rsidR="00000000" w:rsidDel="00000000" w:rsidP="00000000" w:rsidRDefault="00000000" w:rsidRPr="00000000" w14:paraId="00000013">
            <w:pPr>
              <w:widowControl w:val="0"/>
              <w:spacing w:before="0" w:line="240" w:lineRule="auto"/>
              <w:jc w:val="both"/>
              <w:rPr>
                <w:color w:val="039be5"/>
                <w:sz w:val="36"/>
                <w:szCs w:val="36"/>
              </w:rPr>
            </w:pPr>
            <w:r w:rsidDel="00000000" w:rsidR="00000000" w:rsidRPr="00000000">
              <w:rPr>
                <w:color w:val="039be5"/>
                <w:sz w:val="36"/>
                <w:szCs w:val="36"/>
                <w:rtl w:val="0"/>
              </w:rPr>
              <w:t xml:space="preserve">En épocas de alta demanda académica o de presión por entregas en la nube, alguien empático detecta señales de estrés en sus colegas y actúa con comprensión, ajustando plazos si es posible, ofreciendo apoyo o simplemente mostrando interés genuino por el bienestar del otro.</w:t>
            </w:r>
          </w:p>
        </w:tc>
      </w:tr>
    </w:tbl>
    <w:p w:rsidR="00000000" w:rsidDel="00000000" w:rsidP="00000000" w:rsidRDefault="00000000" w:rsidRPr="00000000" w14:paraId="00000014">
      <w:pPr>
        <w:pStyle w:val="Heading2"/>
        <w:rPr/>
      </w:pPr>
      <w:bookmarkStart w:colFirst="0" w:colLast="0" w:name="_heading=h.cecclg8t892j" w:id="2"/>
      <w:bookmarkEnd w:id="2"/>
      <w:r w:rsidDel="00000000" w:rsidR="00000000" w:rsidRPr="00000000">
        <w:rPr>
          <w:rtl w:val="0"/>
        </w:rPr>
      </w:r>
    </w:p>
    <w:p w:rsidR="00000000" w:rsidDel="00000000" w:rsidP="00000000" w:rsidRDefault="00000000" w:rsidRPr="00000000" w14:paraId="00000015">
      <w:pPr>
        <w:pStyle w:val="Heading2"/>
        <w:numPr>
          <w:ilvl w:val="1"/>
          <w:numId w:val="2"/>
        </w:numPr>
        <w:ind w:left="1440" w:hanging="360"/>
        <w:rPr/>
      </w:pPr>
      <w:bookmarkStart w:colFirst="0" w:colLast="0" w:name="_heading=h.cgq2qecsdr2h" w:id="3"/>
      <w:bookmarkEnd w:id="3"/>
      <w:r w:rsidDel="00000000" w:rsidR="00000000" w:rsidRPr="00000000">
        <w:rPr>
          <w:rtl w:val="0"/>
        </w:rPr>
        <w:t xml:space="preserve">Competencia(s)</w:t>
      </w:r>
    </w:p>
    <w:p w:rsidR="00000000" w:rsidDel="00000000" w:rsidP="00000000" w:rsidRDefault="00000000" w:rsidRPr="00000000" w14:paraId="00000016">
      <w:pPr>
        <w:spacing w:line="276"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7">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8">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9">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1A">
            <w:pPr>
              <w:widowControl w:val="0"/>
              <w:spacing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 aplicaciones low-code utilizando Power Automate y Power apps para integrar sistemas, flujos de trabajo y datos.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B">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1C">
            <w:pPr>
              <w:widowControl w:val="0"/>
              <w:spacing w:before="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Explica el concepto de  Cloud Computing, sus modelos de servicio y las ventajas y limitaciones de distintos proveedores Cloud mediante ejemplos cotidianos, casos de uso empresarial y comparativas para el desarrollo de infraestructuras escalables y rentables. </w:t>
            </w: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numPr>
          <w:ilvl w:val="0"/>
          <w:numId w:val="2"/>
        </w:numPr>
        <w:ind w:left="720" w:hanging="360"/>
        <w:rPr/>
      </w:pPr>
      <w:bookmarkStart w:colFirst="0" w:colLast="0" w:name="_heading=h.108eutovlou6" w:id="4"/>
      <w:bookmarkEnd w:id="4"/>
      <w:r w:rsidDel="00000000" w:rsidR="00000000" w:rsidRPr="00000000">
        <w:rPr>
          <w:rtl w:val="0"/>
        </w:rPr>
        <w:t xml:space="preserve">ABSTRACT </w:t>
      </w:r>
    </w:p>
    <w:p w:rsidR="00000000" w:rsidDel="00000000" w:rsidP="00000000" w:rsidRDefault="00000000" w:rsidRPr="00000000" w14:paraId="0000001F">
      <w:pPr>
        <w:jc w:val="both"/>
        <w:rPr/>
      </w:pPr>
      <w:r w:rsidDel="00000000" w:rsidR="00000000" w:rsidRPr="00000000">
        <w:rPr>
          <w:rtl w:val="0"/>
        </w:rPr>
        <w:t xml:space="preserve">El desarrollo low-code y no-code con Power Apps y Power Automate permite crear aplicaciones y automatizaciones funcionales con rapidez, reduciendo la dependencia del desarrollo tradicional. Power Apps ofrece un diseñador visual para construir interfaces y lógica de negocio; Power Automate orquesta flujos, conecta sistemas y automatiza tareas repetitivas. Esta combinación acelera prototipos, empodera usuarios de negocio y mejora la productividad, pero requiere gobernanza, gestión de datos y pruebas para evitar riesgos operativos y deuda técnica. Se recomienda iniciar con un piloto de alto impacto y baja complejidad, definir KPIs claros y políticas de seguridad y mantenimiento antes de escalar.</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pStyle w:val="Heading1"/>
        <w:numPr>
          <w:ilvl w:val="0"/>
          <w:numId w:val="2"/>
        </w:numPr>
        <w:spacing w:after="0" w:afterAutospacing="0"/>
        <w:ind w:left="720" w:hanging="360"/>
        <w:rPr/>
      </w:pPr>
      <w:r w:rsidDel="00000000" w:rsidR="00000000" w:rsidRPr="00000000">
        <w:rPr>
          <w:rtl w:val="0"/>
        </w:rPr>
        <w:t xml:space="preserve">REFERENCIAS</w:t>
      </w:r>
    </w:p>
    <w:p w:rsidR="00000000" w:rsidDel="00000000" w:rsidP="00000000" w:rsidRDefault="00000000" w:rsidRPr="00000000" w14:paraId="00000022">
      <w:pPr>
        <w:numPr>
          <w:ilvl w:val="0"/>
          <w:numId w:val="1"/>
        </w:numPr>
        <w:spacing w:after="0" w:afterAutospacing="0" w:before="0" w:beforeAutospacing="0" w:lineRule="auto"/>
        <w:ind w:left="720" w:hanging="360"/>
        <w:rPr>
          <w:u w:val="none"/>
        </w:rPr>
      </w:pPr>
      <w:r w:rsidDel="00000000" w:rsidR="00000000" w:rsidRPr="00000000">
        <w:rPr>
          <w:rtl w:val="0"/>
        </w:rPr>
        <w:t xml:space="preserve">Microsoft. (2025). Power Apps</w:t>
        <w:br w:type="textWrapping"/>
      </w:r>
      <w:hyperlink r:id="rId10">
        <w:r w:rsidDel="00000000" w:rsidR="00000000" w:rsidRPr="00000000">
          <w:rPr>
            <w:rtl w:val="0"/>
          </w:rPr>
          <w:t xml:space="preserve">https://learn.microsoft.com/en-us/power-apps/</w:t>
        </w:r>
      </w:hyperlink>
      <w:r w:rsidDel="00000000" w:rsidR="00000000" w:rsidRPr="00000000">
        <w:rPr>
          <w:rtl w:val="0"/>
        </w:rPr>
      </w:r>
    </w:p>
    <w:p w:rsidR="00000000" w:rsidDel="00000000" w:rsidP="00000000" w:rsidRDefault="00000000" w:rsidRPr="00000000" w14:paraId="00000023">
      <w:pPr>
        <w:numPr>
          <w:ilvl w:val="0"/>
          <w:numId w:val="1"/>
        </w:numPr>
        <w:spacing w:after="240" w:before="0" w:beforeAutospacing="0" w:lineRule="auto"/>
        <w:ind w:left="720" w:hanging="360"/>
        <w:rPr>
          <w:u w:val="none"/>
        </w:rPr>
      </w:pPr>
      <w:r w:rsidDel="00000000" w:rsidR="00000000" w:rsidRPr="00000000">
        <w:rPr>
          <w:rtl w:val="0"/>
        </w:rPr>
        <w:t xml:space="preserve">Microsoft. (2025). Power Automate</w:t>
        <w:br w:type="textWrapping"/>
      </w:r>
      <w:hyperlink r:id="rId11">
        <w:r w:rsidDel="00000000" w:rsidR="00000000" w:rsidRPr="00000000">
          <w:rPr>
            <w:rtl w:val="0"/>
          </w:rPr>
          <w:t xml:space="preserve">https://learn.microsoft.com/en-us/power-automate/</w:t>
        </w:r>
      </w:hyperlink>
      <w:r w:rsidDel="00000000" w:rsidR="00000000" w:rsidRPr="00000000">
        <w:rPr>
          <w:rtl w:val="0"/>
        </w:rPr>
      </w:r>
    </w:p>
    <w:p w:rsidR="00000000" w:rsidDel="00000000" w:rsidP="00000000" w:rsidRDefault="00000000" w:rsidRPr="00000000" w14:paraId="00000024">
      <w:pPr>
        <w:pStyle w:val="Heading1"/>
        <w:numPr>
          <w:ilvl w:val="0"/>
          <w:numId w:val="2"/>
        </w:numPr>
        <w:ind w:left="720" w:hanging="360"/>
        <w:rPr/>
      </w:pPr>
      <w:r w:rsidDel="00000000" w:rsidR="00000000" w:rsidRPr="00000000">
        <w:rPr>
          <w:rtl w:val="0"/>
        </w:rPr>
        <w:t xml:space="preserve">CONTENIDO </w:t>
      </w:r>
    </w:p>
    <w:p w:rsidR="00000000" w:rsidDel="00000000" w:rsidP="00000000" w:rsidRDefault="00000000" w:rsidRPr="00000000" w14:paraId="00000025">
      <w:pPr>
        <w:ind w:left="720" w:firstLine="0"/>
        <w:rPr>
          <w:b w:val="1"/>
        </w:rPr>
      </w:pPr>
      <w:r w:rsidDel="00000000" w:rsidR="00000000" w:rsidRPr="00000000">
        <w:rPr>
          <w:b w:val="1"/>
          <w:rtl w:val="0"/>
        </w:rPr>
        <w:t xml:space="preserve">Tema Central: </w:t>
      </w:r>
      <w:r w:rsidDel="00000000" w:rsidR="00000000" w:rsidRPr="00000000">
        <w:rPr>
          <w:rtl w:val="0"/>
        </w:rPr>
        <w:t xml:space="preserve">Implementación de aplicaciones no code o low code con los servicios de Microsoft Automate y Power Apps</w:t>
      </w:r>
      <w:r w:rsidDel="00000000" w:rsidR="00000000" w:rsidRPr="00000000">
        <w:rPr>
          <w:rtl w:val="0"/>
        </w:rPr>
      </w:r>
    </w:p>
    <w:p w:rsidR="00000000" w:rsidDel="00000000" w:rsidP="00000000" w:rsidRDefault="00000000" w:rsidRPr="00000000" w14:paraId="00000026">
      <w:pPr>
        <w:ind w:left="720" w:firstLine="0"/>
        <w:rPr>
          <w:b w:val="1"/>
        </w:rPr>
      </w:pPr>
      <w:r w:rsidDel="00000000" w:rsidR="00000000" w:rsidRPr="00000000">
        <w:rPr>
          <w:b w:val="1"/>
          <w:rtl w:val="0"/>
        </w:rPr>
        <w:t xml:space="preserve">Subtemas y contenido:</w:t>
      </w:r>
    </w:p>
    <w:p w:rsidR="00000000" w:rsidDel="00000000" w:rsidP="00000000" w:rsidRDefault="00000000" w:rsidRPr="00000000" w14:paraId="00000027">
      <w:pPr>
        <w:numPr>
          <w:ilvl w:val="0"/>
          <w:numId w:val="4"/>
        </w:numPr>
        <w:spacing w:after="240" w:before="240" w:lineRule="auto"/>
        <w:ind w:left="720" w:hanging="360"/>
        <w:jc w:val="both"/>
        <w:rPr>
          <w:b w:val="1"/>
        </w:rPr>
      </w:pPr>
      <w:r w:rsidDel="00000000" w:rsidR="00000000" w:rsidRPr="00000000">
        <w:rPr>
          <w:b w:val="1"/>
          <w:rtl w:val="0"/>
        </w:rPr>
        <w:t xml:space="preserve">Power Apps</w:t>
        <w:br w:type="textWrapping"/>
      </w:r>
      <w:r w:rsidDel="00000000" w:rsidR="00000000" w:rsidRPr="00000000">
        <w:rPr>
          <w:rtl w:val="0"/>
        </w:rPr>
        <w:t xml:space="preserve">Plataforma visual para crear aplicaciones empresariales sin necesidad de mucho código: permite diseñar interfaces (canvas, model-driven y portals), conectar datos desde Dataverse y cientos de conectores (SharePoint, SQL, APIs) y publicar apps móviles/ web rápidamente. Ideal para prototipos, formularios y soluciones específicas de negocio impulsadas por usuarios de área (citizen developers), aunque para escenarios complejos se recomienda colaboración con IT, buenas prácticas de ALM y control de datos.</w:t>
      </w:r>
      <w:r w:rsidDel="00000000" w:rsidR="00000000" w:rsidRPr="00000000">
        <w:rPr>
          <w:rtl w:val="0"/>
        </w:rPr>
      </w:r>
    </w:p>
    <w:p w:rsidR="00000000" w:rsidDel="00000000" w:rsidP="00000000" w:rsidRDefault="00000000" w:rsidRPr="00000000" w14:paraId="00000028">
      <w:pPr>
        <w:numPr>
          <w:ilvl w:val="0"/>
          <w:numId w:val="4"/>
        </w:numPr>
        <w:spacing w:after="240" w:before="240" w:lineRule="auto"/>
        <w:ind w:left="720" w:hanging="360"/>
        <w:jc w:val="both"/>
        <w:rPr>
          <w:b w:val="1"/>
        </w:rPr>
      </w:pPr>
      <w:r w:rsidDel="00000000" w:rsidR="00000000" w:rsidRPr="00000000">
        <w:rPr>
          <w:b w:val="1"/>
          <w:rtl w:val="0"/>
        </w:rPr>
        <w:t xml:space="preserve">Power Automate</w:t>
        <w:br w:type="textWrapping"/>
      </w:r>
      <w:r w:rsidDel="00000000" w:rsidR="00000000" w:rsidRPr="00000000">
        <w:rPr>
          <w:rtl w:val="0"/>
        </w:rPr>
        <w:t xml:space="preserve">Servicio de orquestación de flujos que automatiza tareas y procesos usando conectores, triggers y acciones (cloud flows, desktop flows para RPA y business process flows para procesos guiados). Facilita automatizar aprobaciones, sincronización de datos, notificaciones y procesos entre sistemas sin programar demasiado. Potente para ganar eficiencia, pero requiere diseño de excepciones, monitoreo y gobernanza para evitar procesos frágiles o costes inesperados</w:t>
      </w:r>
    </w:p>
    <w:p w:rsidR="00000000" w:rsidDel="00000000" w:rsidP="00000000" w:rsidRDefault="00000000" w:rsidRPr="00000000" w14:paraId="00000029">
      <w:pPr>
        <w:spacing w:after="240" w:before="240" w:lineRule="auto"/>
        <w:ind w:left="0" w:firstLine="0"/>
        <w:jc w:val="both"/>
        <w:rPr>
          <w:b w:val="1"/>
        </w:rPr>
      </w:pPr>
      <w:r w:rsidDel="00000000" w:rsidR="00000000" w:rsidRPr="00000000">
        <w:rPr/>
        <w:drawing>
          <wp:inline distB="114300" distT="114300" distL="114300" distR="114300">
            <wp:extent cx="5943600" cy="2730500"/>
            <wp:effectExtent b="0" l="0" r="0" t="0"/>
            <wp:docPr id="3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2730500"/>
                    </a:xfrm>
                    <a:prstGeom prst="rect"/>
                    <a:ln/>
                  </pic:spPr>
                </pic:pic>
              </a:graphicData>
            </a:graphic>
          </wp:inline>
        </w:drawing>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A">
      <w:pPr>
        <w:rPr>
          <w:color w:val="b7b7b7"/>
          <w:sz w:val="22"/>
          <w:szCs w:val="22"/>
        </w:rPr>
      </w:pPr>
      <w:r w:rsidDel="00000000" w:rsidR="00000000" w:rsidRPr="00000000">
        <w:rPr>
          <w:color w:val="039be5"/>
          <w:sz w:val="36"/>
          <w:szCs w:val="36"/>
          <w:rtl w:val="0"/>
        </w:rPr>
        <w:t xml:space="preserve">5. Palabras clave / Glosario</w:t>
      </w:r>
      <w:r w:rsidDel="00000000" w:rsidR="00000000" w:rsidRPr="00000000">
        <w:rPr>
          <w:color w:val="0b5394"/>
          <w:sz w:val="36"/>
          <w:szCs w:val="36"/>
          <w:rtl w:val="0"/>
        </w:rPr>
        <w:t xml:space="preserve"> </w:t>
      </w:r>
      <w:r w:rsidDel="00000000" w:rsidR="00000000" w:rsidRPr="00000000">
        <w:rPr>
          <w:color w:val="039be5"/>
          <w:rtl w:val="0"/>
        </w:rPr>
        <w:br w:type="textWrapping"/>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5"/>
        <w:gridCol w:w="7335"/>
        <w:tblGridChange w:id="0">
          <w:tblGrid>
            <w:gridCol w:w="2015"/>
            <w:gridCol w:w="7335"/>
          </w:tblGrid>
        </w:tblGridChange>
      </w:tblGrid>
      <w:tr>
        <w:trPr>
          <w:cantSplit w:val="0"/>
          <w:tblHeader w:val="0"/>
        </w:trPr>
        <w:tc>
          <w:tcPr/>
          <w:p w:rsidR="00000000" w:rsidDel="00000000" w:rsidP="00000000" w:rsidRDefault="00000000" w:rsidRPr="00000000" w14:paraId="0000002B">
            <w:pPr>
              <w:pStyle w:val="Heading2"/>
              <w:spacing w:before="200" w:line="300" w:lineRule="auto"/>
              <w:rPr>
                <w:b w:val="1"/>
                <w:color w:val="0b5394"/>
              </w:rPr>
            </w:pPr>
            <w:r w:rsidDel="00000000" w:rsidR="00000000" w:rsidRPr="00000000">
              <w:rPr>
                <w:b w:val="1"/>
                <w:color w:val="0b5394"/>
                <w:rtl w:val="0"/>
              </w:rPr>
              <w:t xml:space="preserve">Palabra clave</w:t>
            </w:r>
          </w:p>
        </w:tc>
        <w:tc>
          <w:tcPr/>
          <w:p w:rsidR="00000000" w:rsidDel="00000000" w:rsidP="00000000" w:rsidRDefault="00000000" w:rsidRPr="00000000" w14:paraId="0000002C">
            <w:pPr>
              <w:pStyle w:val="Heading2"/>
              <w:spacing w:before="200" w:line="300" w:lineRule="auto"/>
              <w:rPr>
                <w:b w:val="1"/>
                <w:color w:val="0b5394"/>
              </w:rPr>
            </w:pPr>
            <w:r w:rsidDel="00000000" w:rsidR="00000000" w:rsidRPr="00000000">
              <w:rPr>
                <w:b w:val="1"/>
                <w:color w:val="0b5394"/>
                <w:rtl w:val="0"/>
              </w:rPr>
              <w:t xml:space="preserve">Definición</w:t>
            </w:r>
          </w:p>
        </w:tc>
      </w:tr>
      <w:tr>
        <w:trPr>
          <w:cantSplit w:val="0"/>
          <w:tblHeader w:val="0"/>
        </w:trPr>
        <w:tc>
          <w:tcPr/>
          <w:p w:rsidR="00000000" w:rsidDel="00000000" w:rsidP="00000000" w:rsidRDefault="00000000" w:rsidRPr="00000000" w14:paraId="0000002D">
            <w:pPr>
              <w:pStyle w:val="Heading2"/>
              <w:spacing w:before="200" w:line="300" w:lineRule="auto"/>
              <w:rPr>
                <w:b w:val="1"/>
                <w:color w:val="000000"/>
              </w:rPr>
            </w:pPr>
            <w:r w:rsidDel="00000000" w:rsidR="00000000" w:rsidRPr="00000000">
              <w:rPr>
                <w:b w:val="1"/>
                <w:color w:val="000000"/>
                <w:rtl w:val="0"/>
              </w:rPr>
              <w:t xml:space="preserve">Dataverse</w:t>
            </w:r>
          </w:p>
        </w:tc>
        <w:tc>
          <w:tcPr/>
          <w:p w:rsidR="00000000" w:rsidDel="00000000" w:rsidP="00000000" w:rsidRDefault="00000000" w:rsidRPr="00000000" w14:paraId="0000002E">
            <w:pPr>
              <w:pStyle w:val="Heading2"/>
              <w:spacing w:before="200" w:line="300" w:lineRule="auto"/>
              <w:jc w:val="both"/>
              <w:rPr>
                <w:color w:val="000000"/>
              </w:rPr>
            </w:pPr>
            <w:r w:rsidDel="00000000" w:rsidR="00000000" w:rsidRPr="00000000">
              <w:rPr>
                <w:color w:val="000000"/>
                <w:rtl w:val="0"/>
              </w:rPr>
              <w:t xml:space="preserve">Almacenamiento de datos relacional gestionado por Microsoft diseñado para Power Platform; permite modelar entidades, relaciones y reglas de negocio centralizadas y controlar seguridad, integridad y gobernanza de la información.</w:t>
            </w:r>
          </w:p>
        </w:tc>
      </w:tr>
      <w:tr>
        <w:trPr>
          <w:cantSplit w:val="0"/>
          <w:tblHeader w:val="0"/>
        </w:trPr>
        <w:tc>
          <w:tcPr/>
          <w:p w:rsidR="00000000" w:rsidDel="00000000" w:rsidP="00000000" w:rsidRDefault="00000000" w:rsidRPr="00000000" w14:paraId="0000002F">
            <w:pPr>
              <w:pStyle w:val="Heading2"/>
              <w:spacing w:before="200" w:line="300" w:lineRule="auto"/>
              <w:rPr>
                <w:b w:val="1"/>
                <w:color w:val="000000"/>
              </w:rPr>
            </w:pPr>
            <w:r w:rsidDel="00000000" w:rsidR="00000000" w:rsidRPr="00000000">
              <w:rPr>
                <w:b w:val="1"/>
                <w:color w:val="000000"/>
                <w:rtl w:val="0"/>
              </w:rPr>
              <w:t xml:space="preserve">Conector</w:t>
            </w:r>
          </w:p>
        </w:tc>
        <w:tc>
          <w:tcPr/>
          <w:p w:rsidR="00000000" w:rsidDel="00000000" w:rsidP="00000000" w:rsidRDefault="00000000" w:rsidRPr="00000000" w14:paraId="00000030">
            <w:pPr>
              <w:pStyle w:val="Heading2"/>
              <w:spacing w:before="200" w:line="300" w:lineRule="auto"/>
              <w:jc w:val="both"/>
              <w:rPr>
                <w:color w:val="000000"/>
              </w:rPr>
            </w:pPr>
            <w:r w:rsidDel="00000000" w:rsidR="00000000" w:rsidRPr="00000000">
              <w:rPr>
                <w:color w:val="000000"/>
                <w:rtl w:val="0"/>
              </w:rPr>
              <w:t xml:space="preserve">Componente que enlaza Power Apps o Power Automate con servicios externos (SharePoint, SQL, APIs, servicios SaaS) para leer/escribir datos y ejecutar acciones sin programar integraciones complejas.</w:t>
            </w:r>
          </w:p>
        </w:tc>
      </w:tr>
      <w:tr>
        <w:trPr>
          <w:cantSplit w:val="0"/>
          <w:tblHeader w:val="0"/>
        </w:trPr>
        <w:tc>
          <w:tcPr/>
          <w:p w:rsidR="00000000" w:rsidDel="00000000" w:rsidP="00000000" w:rsidRDefault="00000000" w:rsidRPr="00000000" w14:paraId="00000031">
            <w:pPr>
              <w:pStyle w:val="Heading2"/>
              <w:spacing w:before="200" w:line="300" w:lineRule="auto"/>
              <w:rPr>
                <w:b w:val="1"/>
                <w:color w:val="000000"/>
              </w:rPr>
            </w:pPr>
            <w:bookmarkStart w:colFirst="0" w:colLast="0" w:name="_heading=h.tgp110wkfyfj" w:id="5"/>
            <w:bookmarkEnd w:id="5"/>
            <w:r w:rsidDel="00000000" w:rsidR="00000000" w:rsidRPr="00000000">
              <w:rPr>
                <w:b w:val="1"/>
                <w:color w:val="000000"/>
                <w:rtl w:val="0"/>
              </w:rPr>
              <w:t xml:space="preserve">Canvas app</w:t>
            </w:r>
          </w:p>
        </w:tc>
        <w:tc>
          <w:tcPr/>
          <w:p w:rsidR="00000000" w:rsidDel="00000000" w:rsidP="00000000" w:rsidRDefault="00000000" w:rsidRPr="00000000" w14:paraId="00000032">
            <w:pPr>
              <w:pStyle w:val="Heading2"/>
              <w:spacing w:before="200" w:line="300" w:lineRule="auto"/>
              <w:jc w:val="both"/>
              <w:rPr>
                <w:color w:val="000000"/>
              </w:rPr>
            </w:pPr>
            <w:r w:rsidDel="00000000" w:rsidR="00000000" w:rsidRPr="00000000">
              <w:rPr>
                <w:color w:val="000000"/>
                <w:rtl w:val="0"/>
              </w:rPr>
              <w:t xml:space="preserve">Tipo de aplicación en Power Apps con diseñador visual libre donde se arrastran controles y se define la lógica con expresiones; ideal para interfaces personalizadas y escenarios orientados a usuario final.</w:t>
            </w:r>
          </w:p>
        </w:tc>
      </w:tr>
      <w:tr>
        <w:trPr>
          <w:cantSplit w:val="0"/>
          <w:tblHeader w:val="0"/>
        </w:trPr>
        <w:tc>
          <w:tcPr/>
          <w:p w:rsidR="00000000" w:rsidDel="00000000" w:rsidP="00000000" w:rsidRDefault="00000000" w:rsidRPr="00000000" w14:paraId="00000033">
            <w:pPr>
              <w:pStyle w:val="Heading2"/>
              <w:spacing w:before="200" w:line="300" w:lineRule="auto"/>
              <w:rPr>
                <w:b w:val="1"/>
                <w:color w:val="000000"/>
              </w:rPr>
            </w:pPr>
            <w:bookmarkStart w:colFirst="0" w:colLast="0" w:name="_heading=h.dc4czgl140pb" w:id="6"/>
            <w:bookmarkEnd w:id="6"/>
            <w:r w:rsidDel="00000000" w:rsidR="00000000" w:rsidRPr="00000000">
              <w:rPr>
                <w:b w:val="1"/>
                <w:color w:val="000000"/>
                <w:rtl w:val="0"/>
              </w:rPr>
              <w:t xml:space="preserve">Cloud flow</w:t>
            </w:r>
          </w:p>
        </w:tc>
        <w:tc>
          <w:tcPr/>
          <w:p w:rsidR="00000000" w:rsidDel="00000000" w:rsidP="00000000" w:rsidRDefault="00000000" w:rsidRPr="00000000" w14:paraId="00000034">
            <w:pPr>
              <w:pStyle w:val="Heading2"/>
              <w:spacing w:before="200" w:line="300" w:lineRule="auto"/>
              <w:jc w:val="both"/>
              <w:rPr>
                <w:color w:val="000000"/>
              </w:rPr>
            </w:pPr>
            <w:r w:rsidDel="00000000" w:rsidR="00000000" w:rsidRPr="00000000">
              <w:rPr>
                <w:color w:val="000000"/>
                <w:rtl w:val="0"/>
              </w:rPr>
              <w:t xml:space="preserve">Flujo en Power Automate que se ejecuta en la nube tras un trigger (evento) y orquesta acciones entre sistemas para automatizar procesos, integrando condiciones, bucles y llamadas a APIs.</w:t>
            </w:r>
          </w:p>
        </w:tc>
      </w:tr>
      <w:tr>
        <w:trPr>
          <w:cantSplit w:val="0"/>
          <w:tblHeader w:val="0"/>
        </w:trPr>
        <w:tc>
          <w:tcPr/>
          <w:p w:rsidR="00000000" w:rsidDel="00000000" w:rsidP="00000000" w:rsidRDefault="00000000" w:rsidRPr="00000000" w14:paraId="00000035">
            <w:pPr>
              <w:pStyle w:val="Heading2"/>
              <w:spacing w:before="200" w:line="300" w:lineRule="auto"/>
              <w:rPr>
                <w:b w:val="1"/>
                <w:color w:val="000000"/>
              </w:rPr>
            </w:pPr>
            <w:r w:rsidDel="00000000" w:rsidR="00000000" w:rsidRPr="00000000">
              <w:rPr>
                <w:b w:val="1"/>
                <w:color w:val="000000"/>
                <w:rtl w:val="0"/>
              </w:rPr>
              <w:t xml:space="preserve">RPA (Automatización de escritorio)</w:t>
            </w:r>
          </w:p>
        </w:tc>
        <w:tc>
          <w:tcPr/>
          <w:p w:rsidR="00000000" w:rsidDel="00000000" w:rsidP="00000000" w:rsidRDefault="00000000" w:rsidRPr="00000000" w14:paraId="00000036">
            <w:pPr>
              <w:pStyle w:val="Heading2"/>
              <w:spacing w:before="200" w:line="300" w:lineRule="auto"/>
              <w:jc w:val="both"/>
              <w:rPr>
                <w:color w:val="000000"/>
              </w:rPr>
            </w:pPr>
            <w:r w:rsidDel="00000000" w:rsidR="00000000" w:rsidRPr="00000000">
              <w:rPr>
                <w:color w:val="000000"/>
                <w:rtl w:val="0"/>
              </w:rPr>
              <w:t xml:space="preserve">Automatización basada en UI que reproduce interacciones humanas en aplicaciones de escritorio o web (Power Automate Desktop) para manejar tareas repetitivas cuando no existe integración API directa.</w:t>
            </w:r>
          </w:p>
        </w:tc>
      </w:tr>
    </w:tbl>
    <w:p w:rsidR="00000000" w:rsidDel="00000000" w:rsidP="00000000" w:rsidRDefault="00000000" w:rsidRPr="00000000" w14:paraId="00000037">
      <w:pPr>
        <w:pStyle w:val="Heading2"/>
        <w:rPr>
          <w:color w:val="b7b7b7"/>
          <w:sz w:val="22"/>
          <w:szCs w:val="22"/>
        </w:rPr>
      </w:pPr>
      <w:r w:rsidDel="00000000" w:rsidR="00000000" w:rsidRPr="00000000">
        <w:rPr>
          <w:color w:val="0b5394"/>
          <w:rtl w:val="0"/>
        </w:rPr>
        <w:br w:type="textWrapping"/>
      </w:r>
      <w:r w:rsidDel="00000000" w:rsidR="00000000" w:rsidRPr="00000000">
        <w:rPr>
          <w:color w:val="039be5"/>
          <w:sz w:val="36"/>
          <w:szCs w:val="36"/>
          <w:rtl w:val="0"/>
        </w:rPr>
        <w:t xml:space="preserve">6. Preguntas generadoras</w:t>
      </w:r>
      <w:r w:rsidDel="00000000" w:rsidR="00000000" w:rsidRPr="00000000">
        <w:rPr>
          <w:rtl w:val="0"/>
        </w:rPr>
      </w:r>
    </w:p>
    <w:p w:rsidR="00000000" w:rsidDel="00000000" w:rsidP="00000000" w:rsidRDefault="00000000" w:rsidRPr="00000000" w14:paraId="00000038">
      <w:pPr>
        <w:numPr>
          <w:ilvl w:val="0"/>
          <w:numId w:val="3"/>
        </w:numPr>
        <w:spacing w:after="240" w:before="240" w:lineRule="auto"/>
        <w:ind w:left="720" w:hanging="360"/>
        <w:jc w:val="both"/>
      </w:pPr>
      <w:r w:rsidDel="00000000" w:rsidR="00000000" w:rsidRPr="00000000">
        <w:rPr>
          <w:rtl w:val="0"/>
        </w:rPr>
        <w:t xml:space="preserve">¿Qué proceso de negocio concreto queremos automatizar con Power Apps/Power Automate y qué métricas usaremos para medir su éxito (ahorro de tiempo, reducción de errores, costo)?</w:t>
      </w:r>
    </w:p>
    <w:p w:rsidR="00000000" w:rsidDel="00000000" w:rsidP="00000000" w:rsidRDefault="00000000" w:rsidRPr="00000000" w14:paraId="00000039">
      <w:pPr>
        <w:numPr>
          <w:ilvl w:val="0"/>
          <w:numId w:val="3"/>
        </w:numPr>
        <w:spacing w:after="240" w:before="240" w:lineRule="auto"/>
        <w:ind w:left="720" w:hanging="360"/>
        <w:jc w:val="both"/>
      </w:pPr>
      <w:r w:rsidDel="00000000" w:rsidR="00000000" w:rsidRPr="00000000">
        <w:rPr>
          <w:rtl w:val="0"/>
        </w:rPr>
        <w:t xml:space="preserve">¿Quiénes serán los citizen developers y qué modelo de gobernanza, control de versiones y seguridad implementaremos para evitar deuda técnica y fugas de datos?</w:t>
      </w:r>
    </w:p>
    <w:p w:rsidR="00000000" w:rsidDel="00000000" w:rsidP="00000000" w:rsidRDefault="00000000" w:rsidRPr="00000000" w14:paraId="0000003A">
      <w:pPr>
        <w:numPr>
          <w:ilvl w:val="0"/>
          <w:numId w:val="3"/>
        </w:numPr>
        <w:spacing w:after="240" w:before="240" w:lineRule="auto"/>
        <w:ind w:left="720" w:hanging="360"/>
        <w:jc w:val="both"/>
      </w:pPr>
      <w:r w:rsidDel="00000000" w:rsidR="00000000" w:rsidRPr="00000000">
        <w:rPr>
          <w:rtl w:val="0"/>
        </w:rPr>
        <w:t xml:space="preserve">¿Cómo se integrará la solución con nuestros sistemas actuales (Dataverse, bases de datos, APIs) y cuál es el plan para escalar y dar soporte si el uso crece?</w:t>
      </w:r>
    </w:p>
    <w:p w:rsidR="00000000" w:rsidDel="00000000" w:rsidP="00000000" w:rsidRDefault="00000000" w:rsidRPr="00000000" w14:paraId="0000003B">
      <w:pPr>
        <w:pStyle w:val="Heading2"/>
        <w:rPr>
          <w:color w:val="039be5"/>
          <w:sz w:val="36"/>
          <w:szCs w:val="36"/>
        </w:rPr>
      </w:pPr>
      <w:bookmarkStart w:colFirst="0" w:colLast="0" w:name="_heading=h.sa4v6r957pfe" w:id="7"/>
      <w:bookmarkEnd w:id="7"/>
      <w:r w:rsidDel="00000000" w:rsidR="00000000" w:rsidRPr="00000000">
        <w:rPr>
          <w:color w:val="039be5"/>
          <w:sz w:val="36"/>
          <w:szCs w:val="36"/>
          <w:rtl w:val="0"/>
        </w:rPr>
        <w:t xml:space="preserve">7. Pongamos en Práctica la Teoría</w:t>
      </w:r>
    </w:p>
    <w:p w:rsidR="00000000" w:rsidDel="00000000" w:rsidP="00000000" w:rsidRDefault="00000000" w:rsidRPr="00000000" w14:paraId="0000003C">
      <w:pPr>
        <w:pStyle w:val="Heading3"/>
        <w:ind w:firstLine="720"/>
        <w:rPr>
          <w:color w:val="bf9000"/>
        </w:rPr>
      </w:pPr>
      <w:bookmarkStart w:colFirst="0" w:colLast="0" w:name="_heading=h.xx8q6knkl3b6" w:id="8"/>
      <w:bookmarkEnd w:id="8"/>
      <w:r w:rsidDel="00000000" w:rsidR="00000000" w:rsidRPr="00000000">
        <w:rPr>
          <w:color w:val="bf9000"/>
          <w:rtl w:val="0"/>
        </w:rPr>
        <w:t xml:space="preserve">7.1. Caso de Estudio 1</w:t>
      </w:r>
    </w:p>
    <w:p w:rsidR="00000000" w:rsidDel="00000000" w:rsidP="00000000" w:rsidRDefault="00000000" w:rsidRPr="00000000" w14:paraId="0000003D">
      <w:pPr>
        <w:ind w:left="1440" w:firstLine="0"/>
        <w:jc w:val="both"/>
        <w:rPr>
          <w:b w:val="1"/>
          <w:color w:val="000000"/>
        </w:rPr>
      </w:pPr>
      <w:r w:rsidDel="00000000" w:rsidR="00000000" w:rsidRPr="00000000">
        <w:rPr>
          <w:b w:val="1"/>
          <w:color w:val="000000"/>
          <w:rtl w:val="0"/>
        </w:rPr>
        <w:t xml:space="preserve">7.1.1. Problema:</w:t>
        <w:br w:type="textWrapping"/>
      </w:r>
      <w:r w:rsidDel="00000000" w:rsidR="00000000" w:rsidRPr="00000000">
        <w:rPr>
          <w:rtl w:val="0"/>
        </w:rPr>
        <w:t xml:space="preserve">Procesos de aprobación de gastos y compras gestionados por correo y hojas de cálculo: retrasos de varios días para aprobaciones, pérdida de solicitudes, duplicidad de datos y tiempos de entrada manual que consumen horas del equipo administrativo.</w:t>
      </w:r>
      <w:r w:rsidDel="00000000" w:rsidR="00000000" w:rsidRPr="00000000">
        <w:rPr>
          <w:rtl w:val="0"/>
        </w:rPr>
      </w:r>
    </w:p>
    <w:p w:rsidR="00000000" w:rsidDel="00000000" w:rsidP="00000000" w:rsidRDefault="00000000" w:rsidRPr="00000000" w14:paraId="0000003E">
      <w:pPr>
        <w:ind w:left="1440" w:firstLine="0"/>
        <w:jc w:val="both"/>
        <w:rPr>
          <w:color w:val="000000"/>
        </w:rPr>
      </w:pPr>
      <w:r w:rsidDel="00000000" w:rsidR="00000000" w:rsidRPr="00000000">
        <w:rPr>
          <w:b w:val="1"/>
          <w:color w:val="000000"/>
          <w:rtl w:val="0"/>
        </w:rPr>
        <w:t xml:space="preserve">7.1.2. Impacto:</w:t>
        <w:br w:type="textWrapping"/>
      </w:r>
      <w:r w:rsidDel="00000000" w:rsidR="00000000" w:rsidRPr="00000000">
        <w:rPr>
          <w:rtl w:val="0"/>
        </w:rPr>
        <w:t xml:space="preserve">Demoras en compras críticas, exceso de horas hombre para seguimiento, errores en datos que generan re-procesos y baja visibilidad para finanzas; coste operativo elevado y frustración entre usuarios y aprobadores.</w:t>
      </w:r>
      <w:r w:rsidDel="00000000" w:rsidR="00000000" w:rsidRPr="00000000">
        <w:rPr>
          <w:rtl w:val="0"/>
        </w:rPr>
      </w:r>
    </w:p>
    <w:p w:rsidR="00000000" w:rsidDel="00000000" w:rsidP="00000000" w:rsidRDefault="00000000" w:rsidRPr="00000000" w14:paraId="0000003F">
      <w:pPr>
        <w:ind w:left="1440" w:firstLine="0"/>
        <w:jc w:val="both"/>
        <w:rPr>
          <w:color w:val="000000"/>
        </w:rPr>
      </w:pPr>
      <w:r w:rsidDel="00000000" w:rsidR="00000000" w:rsidRPr="00000000">
        <w:rPr>
          <w:b w:val="1"/>
          <w:color w:val="000000"/>
          <w:rtl w:val="0"/>
        </w:rPr>
        <w:t xml:space="preserve">7.1.3. Solución y resultados:</w:t>
        <w:br w:type="textWrapping"/>
      </w:r>
      <w:sdt>
        <w:sdtPr>
          <w:id w:val="-2074058739"/>
          <w:tag w:val="goog_rdk_0"/>
        </w:sdtPr>
        <w:sdtContent>
          <w:r w:rsidDel="00000000" w:rsidR="00000000" w:rsidRPr="00000000">
            <w:rPr>
              <w:rFonts w:ascii="Nova Mono" w:cs="Nova Mono" w:eastAsia="Nova Mono" w:hAnsi="Nova Mono"/>
              <w:rtl w:val="0"/>
            </w:rPr>
            <w:t xml:space="preserve">Se desarrolló una app canvas en Power Apps para capturar solicitudes (adjuntos, centros de costo) y se almacenaron en Dataverse; Power Automate orquestó flujos de aprobación en cadena con notificaciones push y seguimiento, y un flujo RPA para registrar automáticamente órdenes en el ERP legado. Piloto 6 semanas: tiempo medio de aprobación reducido 75% (de 4 días a &lt;1 día), errores de entrada manual −90%, tiempo administrativo recuperado 12 horas/semana, y visibilidad en tiempo real para finanzas que permitió priorizar compras urgentes. Adicionalmente, la adopción fue alta por la interfaz móvil y el coste de desarrollo fue bajo comparado con la eficiencia ganada.</w:t>
          </w:r>
        </w:sdtContent>
      </w:sdt>
      <w:r w:rsidDel="00000000" w:rsidR="00000000" w:rsidRPr="00000000">
        <w:rPr>
          <w:rtl w:val="0"/>
        </w:rPr>
      </w:r>
    </w:p>
    <w:p w:rsidR="00000000" w:rsidDel="00000000" w:rsidP="00000000" w:rsidRDefault="00000000" w:rsidRPr="00000000" w14:paraId="00000040">
      <w:pPr>
        <w:ind w:left="1440" w:firstLine="0"/>
        <w:rPr>
          <w:color w:val="000000"/>
        </w:rPr>
      </w:pPr>
      <w:r w:rsidDel="00000000" w:rsidR="00000000" w:rsidRPr="00000000">
        <w:rPr>
          <w:rtl w:val="0"/>
        </w:rPr>
      </w:r>
    </w:p>
    <w:p w:rsidR="00000000" w:rsidDel="00000000" w:rsidP="00000000" w:rsidRDefault="00000000" w:rsidRPr="00000000" w14:paraId="00000041">
      <w:pPr>
        <w:ind w:left="1440" w:firstLine="0"/>
        <w:rPr>
          <w:color w:val="000000"/>
        </w:rPr>
      </w:pPr>
      <w:r w:rsidDel="00000000" w:rsidR="00000000" w:rsidRPr="00000000">
        <w:rPr>
          <w:rtl w:val="0"/>
        </w:rPr>
      </w:r>
    </w:p>
    <w:p w:rsidR="00000000" w:rsidDel="00000000" w:rsidP="00000000" w:rsidRDefault="00000000" w:rsidRPr="00000000" w14:paraId="00000042">
      <w:pPr>
        <w:ind w:left="1440" w:firstLine="0"/>
        <w:rPr>
          <w:color w:val="000000"/>
        </w:rPr>
      </w:pPr>
      <w:r w:rsidDel="00000000" w:rsidR="00000000" w:rsidRPr="00000000">
        <w:rPr>
          <w:rtl w:val="0"/>
        </w:rPr>
      </w:r>
    </w:p>
    <w:p w:rsidR="00000000" w:rsidDel="00000000" w:rsidP="00000000" w:rsidRDefault="00000000" w:rsidRPr="00000000" w14:paraId="00000043">
      <w:pPr>
        <w:pStyle w:val="Heading3"/>
        <w:ind w:firstLine="720"/>
        <w:rPr>
          <w:color w:val="bf9000"/>
        </w:rPr>
      </w:pPr>
      <w:r w:rsidDel="00000000" w:rsidR="00000000" w:rsidRPr="00000000">
        <w:rPr>
          <w:color w:val="bf9000"/>
          <w:rtl w:val="0"/>
        </w:rPr>
        <w:t xml:space="preserve">7.2. Caso de Estudio 2</w:t>
      </w:r>
    </w:p>
    <w:p w:rsidR="00000000" w:rsidDel="00000000" w:rsidP="00000000" w:rsidRDefault="00000000" w:rsidRPr="00000000" w14:paraId="00000044">
      <w:pPr>
        <w:ind w:left="1440" w:firstLine="0"/>
        <w:jc w:val="both"/>
        <w:rPr>
          <w:color w:val="000000"/>
        </w:rPr>
      </w:pPr>
      <w:r w:rsidDel="00000000" w:rsidR="00000000" w:rsidRPr="00000000">
        <w:rPr>
          <w:b w:val="1"/>
          <w:color w:val="000000"/>
          <w:rtl w:val="0"/>
        </w:rPr>
        <w:t xml:space="preserve">7.2.1. Problema:</w:t>
      </w:r>
      <w:r w:rsidDel="00000000" w:rsidR="00000000" w:rsidRPr="00000000">
        <w:rPr>
          <w:color w:val="000000"/>
          <w:rtl w:val="0"/>
        </w:rPr>
        <w:br w:type="textWrapping"/>
      </w:r>
      <w:r w:rsidDel="00000000" w:rsidR="00000000" w:rsidRPr="00000000">
        <w:rPr>
          <w:rtl w:val="0"/>
        </w:rPr>
        <w:t xml:space="preserve">Onboarding de nuevos empleados gestionado con papel y correos: formularios dispersos, múltiples aprobaciones manuales y retrasos en la provisión de accesos y equipos, lo que provoca que los nuevos empleados no estén operativos al inicio.</w:t>
      </w:r>
      <w:r w:rsidDel="00000000" w:rsidR="00000000" w:rsidRPr="00000000">
        <w:rPr>
          <w:rtl w:val="0"/>
        </w:rPr>
      </w:r>
    </w:p>
    <w:p w:rsidR="00000000" w:rsidDel="00000000" w:rsidP="00000000" w:rsidRDefault="00000000" w:rsidRPr="00000000" w14:paraId="00000045">
      <w:pPr>
        <w:ind w:left="1440" w:firstLine="0"/>
        <w:jc w:val="both"/>
        <w:rPr>
          <w:color w:val="000000"/>
        </w:rPr>
      </w:pPr>
      <w:r w:rsidDel="00000000" w:rsidR="00000000" w:rsidRPr="00000000">
        <w:rPr>
          <w:b w:val="1"/>
          <w:color w:val="000000"/>
          <w:rtl w:val="0"/>
        </w:rPr>
        <w:t xml:space="preserve">7.2.2. Impacto:</w:t>
      </w:r>
      <w:r w:rsidDel="00000000" w:rsidR="00000000" w:rsidRPr="00000000">
        <w:rPr>
          <w:color w:val="000000"/>
          <w:rtl w:val="0"/>
        </w:rPr>
        <w:br w:type="textWrapping"/>
      </w:r>
      <w:r w:rsidDel="00000000" w:rsidR="00000000" w:rsidRPr="00000000">
        <w:rPr>
          <w:rtl w:val="0"/>
        </w:rPr>
        <w:t xml:space="preserve">Tiempo hasta productividad alta de hasta 7 días, carga administrativa elevada en RR. HH. y TI, riesgo de incumplimiento en políticas de seguridad y mala experiencia para el nuevo empleado que afecta retención y percepción del área.</w:t>
      </w:r>
      <w:r w:rsidDel="00000000" w:rsidR="00000000" w:rsidRPr="00000000">
        <w:rPr>
          <w:rtl w:val="0"/>
        </w:rPr>
      </w:r>
    </w:p>
    <w:p w:rsidR="00000000" w:rsidDel="00000000" w:rsidP="00000000" w:rsidRDefault="00000000" w:rsidRPr="00000000" w14:paraId="00000046">
      <w:pPr>
        <w:ind w:left="1440" w:firstLine="0"/>
        <w:jc w:val="both"/>
        <w:rPr>
          <w:color w:val="000000"/>
        </w:rPr>
      </w:pPr>
      <w:r w:rsidDel="00000000" w:rsidR="00000000" w:rsidRPr="00000000">
        <w:rPr>
          <w:b w:val="1"/>
          <w:color w:val="000000"/>
          <w:rtl w:val="0"/>
        </w:rPr>
        <w:t xml:space="preserve">7.2.3. Solución y resultados:</w:t>
      </w:r>
      <w:r w:rsidDel="00000000" w:rsidR="00000000" w:rsidRPr="00000000">
        <w:rPr>
          <w:color w:val="000000"/>
          <w:rtl w:val="0"/>
        </w:rPr>
        <w:br w:type="textWrapping"/>
      </w:r>
      <w:sdt>
        <w:sdtPr>
          <w:id w:val="1762408105"/>
          <w:tag w:val="goog_rdk_1"/>
        </w:sdtPr>
        <w:sdtContent>
          <w:r w:rsidDel="00000000" w:rsidR="00000000" w:rsidRPr="00000000">
            <w:rPr>
              <w:rFonts w:ascii="Nova Mono" w:cs="Nova Mono" w:eastAsia="Nova Mono" w:hAnsi="Nova Mono"/>
              <w:rtl w:val="0"/>
            </w:rPr>
            <w:t xml:space="preserve">Se construyó una Power App canvas para capturar información de incorporación y checklist por rol, almacenando datos en Dataverse; Power Automate orquestó aprobaciones, generación automática de tickets a TI, creación de cuentas básicas en Azure AD (vía connector) y notificaciones al responsable de equipos; se incluyó un flujo RPA para registrar inventario en el sistema legacy. Resultado tras 6 semanas: tiempo medio de onboarding reducido de 7 a 1 día, provisión automática de accesos en 80% de los casos, errores en datos de incorporación −95%, y satisfacción de nuevos empleados mejorada notablemente, además de liberar ~10 horas/semana del equipo administrativo.</w:t>
          </w:r>
        </w:sdtContent>
      </w:sdt>
      <w:r w:rsidDel="00000000" w:rsidR="00000000" w:rsidRPr="00000000">
        <w:rPr>
          <w:rtl w:val="0"/>
        </w:rPr>
      </w:r>
    </w:p>
    <w:p w:rsidR="00000000" w:rsidDel="00000000" w:rsidP="00000000" w:rsidRDefault="00000000" w:rsidRPr="00000000" w14:paraId="00000047">
      <w:pPr>
        <w:ind w:left="1440" w:firstLine="0"/>
        <w:rPr>
          <w:color w:val="000000"/>
        </w:rPr>
      </w:pPr>
      <w:r w:rsidDel="00000000" w:rsidR="00000000" w:rsidRPr="00000000">
        <w:rPr>
          <w:rtl w:val="0"/>
        </w:rPr>
      </w:r>
    </w:p>
    <w:p w:rsidR="00000000" w:rsidDel="00000000" w:rsidP="00000000" w:rsidRDefault="00000000" w:rsidRPr="00000000" w14:paraId="00000048">
      <w:pPr>
        <w:ind w:left="1440" w:firstLine="0"/>
        <w:rPr>
          <w:color w:val="000000"/>
        </w:rPr>
      </w:pPr>
      <w:r w:rsidDel="00000000" w:rsidR="00000000" w:rsidRPr="00000000">
        <w:rPr>
          <w:rtl w:val="0"/>
        </w:rPr>
      </w:r>
    </w:p>
    <w:p w:rsidR="00000000" w:rsidDel="00000000" w:rsidP="00000000" w:rsidRDefault="00000000" w:rsidRPr="00000000" w14:paraId="00000049">
      <w:pPr>
        <w:ind w:left="1440" w:firstLine="0"/>
        <w:rPr>
          <w:color w:val="000000"/>
        </w:rPr>
      </w:pPr>
      <w:r w:rsidDel="00000000" w:rsidR="00000000" w:rsidRPr="00000000">
        <w:rPr>
          <w:rtl w:val="0"/>
        </w:rPr>
      </w:r>
    </w:p>
    <w:p w:rsidR="00000000" w:rsidDel="00000000" w:rsidP="00000000" w:rsidRDefault="00000000" w:rsidRPr="00000000" w14:paraId="0000004A">
      <w:pPr>
        <w:rPr>
          <w:color w:val="b7b7b7"/>
        </w:rPr>
      </w:pPr>
      <w:r w:rsidDel="00000000" w:rsidR="00000000" w:rsidRPr="00000000">
        <w:rPr>
          <w:rtl w:val="0"/>
        </w:rPr>
      </w:r>
    </w:p>
    <w:p w:rsidR="00000000" w:rsidDel="00000000" w:rsidP="00000000" w:rsidRDefault="00000000" w:rsidRPr="00000000" w14:paraId="0000004B">
      <w:pPr>
        <w:pStyle w:val="Heading1"/>
        <w:pBdr>
          <w:top w:space="0" w:sz="0" w:val="nil"/>
          <w:left w:space="0" w:sz="0" w:val="nil"/>
          <w:bottom w:space="0" w:sz="0" w:val="nil"/>
          <w:right w:space="0" w:sz="0" w:val="nil"/>
          <w:between w:space="0" w:sz="0" w:val="nil"/>
        </w:pBdr>
        <w:rPr/>
      </w:pPr>
      <w:bookmarkStart w:colFirst="0" w:colLast="0" w:name="_heading=h.qoamtzhlap20" w:id="9"/>
      <w:bookmarkEnd w:id="9"/>
      <w:r w:rsidDel="00000000" w:rsidR="00000000" w:rsidRPr="00000000">
        <w:rPr>
          <w:rtl w:val="0"/>
        </w:rPr>
        <w:t xml:space="preserve">8. Conclusión</w:t>
      </w:r>
    </w:p>
    <w:p w:rsidR="00000000" w:rsidDel="00000000" w:rsidP="00000000" w:rsidRDefault="00000000" w:rsidRPr="00000000" w14:paraId="0000004C">
      <w:pPr>
        <w:spacing w:before="480" w:lineRule="auto"/>
        <w:jc w:val="both"/>
        <w:rPr/>
      </w:pPr>
      <w:r w:rsidDel="00000000" w:rsidR="00000000" w:rsidRPr="00000000">
        <w:rPr>
          <w:rtl w:val="0"/>
        </w:rPr>
        <w:t xml:space="preserve">Integrar Lex, Translate, Polly y Rekognition aporta mejoras claras en automatización, accesibilidad y experiencia del usuario: reduce tiempos de atención, permite soporte multilingüe y añade opciones habladas, además de aportar capas de verificación biométrica que disminuyen fraude. Técnicamente son servicios gestionados que aceleran la entrega, pero requieren diseño cuidadoso de integración (CRM, Lambdas, pipelines de datos) y un control de costes operativo. Desde el punto de vista ético y legal, Rekognition exige especial atención a privacidad, consentimiento y sesgos; Translate y Polly piden cuidado con datos sensibles y localización; definir políticas de retención y anonimización es imprescindible. Recomiendo un piloto acotado con KPIs claros (tasa de automatización, tiempo medio de resolución, satisfacción, false positives de verificación) y un marco de gobernanza para iterar y escalar con seguridad y transparencia.</w:t>
      </w:r>
    </w:p>
    <w:p w:rsidR="00000000" w:rsidDel="00000000" w:rsidP="00000000" w:rsidRDefault="00000000" w:rsidRPr="00000000" w14:paraId="0000004D">
      <w:pPr>
        <w:pBdr>
          <w:top w:space="0" w:sz="0" w:val="nil"/>
          <w:left w:space="0" w:sz="0" w:val="nil"/>
          <w:bottom w:space="0" w:sz="0" w:val="nil"/>
          <w:right w:space="0" w:sz="0" w:val="nil"/>
          <w:between w:space="0" w:sz="0" w:val="nil"/>
        </w:pBdr>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35"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38"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Seminario de Sistemas 1</w:t>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-66671</wp:posOffset>
          </wp:positionV>
          <wp:extent cx="7781925" cy="95250"/>
          <wp:effectExtent b="0" l="0" r="0" t="0"/>
          <wp:wrapTopAndBottom distB="0" distT="0"/>
          <wp:docPr descr="línea horizontal" id="40"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horizontal line" id="4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4F">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39"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línea horizontal" id="37"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Prrafodelista">
    <w:name w:val="List Paragraph"/>
    <w:basedOn w:val="Normal"/>
    <w:uiPriority w:val="34"/>
    <w:qFormat w:val="1"/>
    <w:rsid w:val="00023C5B"/>
    <w:pPr>
      <w:ind w:left="720"/>
      <w:contextualSpacing w:val="1"/>
    </w:pPr>
  </w:style>
  <w:style w:type="character" w:styleId="Hipervnculo">
    <w:name w:val="Hyperlink"/>
    <w:basedOn w:val="Fuentedeprrafopredeter"/>
    <w:uiPriority w:val="99"/>
    <w:unhideWhenUsed w:val="1"/>
    <w:rsid w:val="00023C5B"/>
    <w:rPr>
      <w:color w:val="0000ff" w:themeColor="hyperlink"/>
      <w:u w:val="single"/>
    </w:rPr>
  </w:style>
  <w:style w:type="character" w:styleId="Mencinsinresolver">
    <w:name w:val="Unresolved Mention"/>
    <w:basedOn w:val="Fuentedeprrafopredeter"/>
    <w:uiPriority w:val="99"/>
    <w:semiHidden w:val="1"/>
    <w:unhideWhenUsed w:val="1"/>
    <w:rsid w:val="00023C5B"/>
    <w:rPr>
      <w:color w:val="605e5c"/>
      <w:shd w:color="auto" w:fill="e1dfdd" w:val="clear"/>
    </w:rPr>
  </w:style>
  <w:style w:type="character" w:styleId="Hipervnculovisitado">
    <w:name w:val="FollowedHyperlink"/>
    <w:basedOn w:val="Fuentedeprrafopredeter"/>
    <w:uiPriority w:val="99"/>
    <w:semiHidden w:val="1"/>
    <w:unhideWhenUsed w:val="1"/>
    <w:rsid w:val="00023C5B"/>
    <w:rPr>
      <w:color w:val="800080" w:themeColor="followedHyperlink"/>
      <w:u w:val="single"/>
    </w:rPr>
  </w:style>
  <w:style w:type="table" w:styleId="Tablaconcuadrcula">
    <w:name w:val="Table Grid"/>
    <w:basedOn w:val="Tablanormal"/>
    <w:uiPriority w:val="39"/>
    <w:rsid w:val="00023C5B"/>
    <w:pPr>
      <w:spacing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4C43C9"/>
    <w:rPr>
      <w:rFonts w:ascii="Times New Roman" w:cs="Times New Roman" w:hAnsi="Times New Roman"/>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before="0" w:line="240" w:lineRule="auto"/>
    </w:pPr>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before="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before="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learn.microsoft.com/en-us/power-automate/?utm_source=chatgpt.com" TargetMode="External"/><Relationship Id="rId10" Type="http://schemas.openxmlformats.org/officeDocument/2006/relationships/hyperlink" Target="https://learn.microsoft.com/en-us/power-apps/?utm_source=chatgpt.com" TargetMode="External"/><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NovaMono-regular.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deDesKok1+N1htZGMY7vf6/xzA==">CgMxLjAaFgoBMBIRCg8IB0ILEglOb3ZhIE1vbm8aFgoBMRIRCg8IB0ILEglOb3ZhIE1vbm8yDmgucG1laGlpMWIwZjFuMg5oLnpkaWI3cDhnZ3EzMTIOaC5jZWNjbGc4dDg5MmoyDmguY2dxMnFlY3NkcjJoMg5oLjEwOGV1dG92bG91NjIOaC50Z3AxMTB3a2Z5ZmoyDmguZGM0Y3pnbDE0MHBiMg5oLnNhNHY2cjk1N3BmZTIOaC54eDhxNmtua2wzYjYyDmgucW9hbXR6aGxhcDIwOAByITF2dnp0alIwMmxmZzlpY3FmalF1U0tXRExqaUZpMXlP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2025-10-31T20:15:00Z</dcterms:created>
  <dc:creator>Emerson</dc:creator>
</cp:coreProperties>
</file>