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both"/>
        <w:rPr/>
      </w:pPr>
      <w:r w:rsidDel="00000000" w:rsidR="00000000" w:rsidRPr="00000000">
        <w:rPr>
          <w:rtl w:val="0"/>
        </w:rPr>
        <w:t xml:space="preserve">Procedimientos </w:t>
      </w:r>
    </w:p>
    <w:p w:rsidR="00000000" w:rsidDel="00000000" w:rsidP="00000000" w:rsidRDefault="00000000" w:rsidRPr="00000000" w14:paraId="00000002">
      <w:pPr>
        <w:jc w:val="both"/>
        <w:rPr/>
      </w:pPr>
      <w:r w:rsidDel="00000000" w:rsidR="00000000" w:rsidRPr="00000000">
        <w:rPr>
          <w:rtl w:val="0"/>
        </w:rPr>
        <w:t xml:space="preserve">Todo el código ejecutable de una aplicación se ubica en rutinas de código o procedimientos. Un procedimiento es un elemento del lenguaje compuesto por un conjunto de líneas de código, a las que se denomina cuerpo del procedimiento. Su comienzo y fin lo establecemos mediante ciertas palabras reservadas del lenguaje, asociándolo un identificador, que nos servirá para reconocerlo entre el resto de procedimientos creados en el programa. Podemos enviarle también información adicional en forma de parámetros, con lo que el resultado de la ejecución de un procedimiento variará según los valores que pasemos en cada llamada. </w:t>
      </w:r>
    </w:p>
    <w:p w:rsidR="00000000" w:rsidDel="00000000" w:rsidP="00000000" w:rsidRDefault="00000000" w:rsidRPr="00000000" w14:paraId="00000003">
      <w:pPr>
        <w:jc w:val="both"/>
        <w:rPr/>
      </w:pPr>
      <w:r w:rsidDel="00000000" w:rsidR="00000000" w:rsidRPr="00000000">
        <w:rPr>
          <w:rtl w:val="0"/>
        </w:rPr>
        <w:t xml:space="preserve">En VB.NET disponemos de los siguientes tipos de procedimientos: </w:t>
      </w:r>
    </w:p>
    <w:p w:rsidR="00000000" w:rsidDel="00000000" w:rsidP="00000000" w:rsidRDefault="00000000" w:rsidRPr="00000000" w14:paraId="00000004">
      <w:pPr>
        <w:jc w:val="both"/>
        <w:rPr/>
      </w:pPr>
      <w:r w:rsidDel="00000000" w:rsidR="00000000" w:rsidRPr="00000000">
        <w:rPr>
          <w:rtl w:val="0"/>
        </w:rPr>
        <w:t xml:space="preserve">• Sub. Procedimiento que realiza un conjunto de operaciones pero no devuelve valor al punto de llamada. A lo largo del texto también nos referiremos a las rutinas de tipo Sub con el nombre genérico de procedimiento. </w:t>
      </w:r>
    </w:p>
    <w:p w:rsidR="00000000" w:rsidDel="00000000" w:rsidP="00000000" w:rsidRDefault="00000000" w:rsidRPr="00000000" w14:paraId="00000005">
      <w:pPr>
        <w:jc w:val="both"/>
        <w:rPr/>
      </w:pPr>
      <w:r w:rsidDel="00000000" w:rsidR="00000000" w:rsidRPr="00000000">
        <w:rPr>
          <w:rtl w:val="0"/>
        </w:rPr>
        <w:t xml:space="preserve">• Function. Procedimiento que realiza un conjunto de operaciones, y devuelve un valor denominado valor de retorno al punto de código que realizó la llamada. A lo largo del texto también nos referiremos a las rutinas de tipo Function con el nombre genérico de función.</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 Property. Procedimiento que se utiliza para labores de acceso y asignación de valores a las propiedades de un objeto. Serán tratados con más profundidad en el tema dedicado a la programación orientada a objetos. </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pStyle w:val="Heading3"/>
        <w:jc w:val="both"/>
        <w:rPr/>
      </w:pPr>
      <w:r w:rsidDel="00000000" w:rsidR="00000000" w:rsidRPr="00000000">
        <w:rPr>
          <w:rtl w:val="0"/>
        </w:rPr>
        <w:t xml:space="preserve">Sintaxis de un procedimiento Sub </w:t>
      </w:r>
    </w:p>
    <w:p w:rsidR="00000000" w:rsidDel="00000000" w:rsidP="00000000" w:rsidRDefault="00000000" w:rsidRPr="00000000" w14:paraId="0000000A">
      <w:pPr>
        <w:jc w:val="both"/>
        <w:rPr/>
      </w:pPr>
      <w:r w:rsidDel="00000000" w:rsidR="00000000" w:rsidRPr="00000000">
        <w:rPr>
          <w:rtl w:val="0"/>
        </w:rPr>
        <w:t xml:space="preserve">El formato para la escritura de un procedimiento Sub se muestra en el Código fuente 117.</w:t>
      </w:r>
    </w:p>
    <w:p w:rsidR="00000000" w:rsidDel="00000000" w:rsidP="00000000" w:rsidRDefault="00000000" w:rsidRPr="00000000" w14:paraId="0000000B">
      <w:pPr>
        <w:jc w:val="both"/>
        <w:rPr/>
      </w:pPr>
      <w:r w:rsidDel="00000000" w:rsidR="00000000" w:rsidRPr="00000000">
        <w:rPr/>
        <w:drawing>
          <wp:inline distB="0" distT="0" distL="0" distR="0">
            <wp:extent cx="5943600" cy="1163320"/>
            <wp:effectExtent b="0" l="0" r="0" t="0"/>
            <wp:docPr id="2125360610"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116332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Los elementos que forman parte de este tipo de rutina son los siguientes: </w:t>
      </w:r>
    </w:p>
    <w:p w:rsidR="00000000" w:rsidDel="00000000" w:rsidP="00000000" w:rsidRDefault="00000000" w:rsidRPr="00000000" w14:paraId="0000000D">
      <w:pPr>
        <w:jc w:val="both"/>
        <w:rPr/>
      </w:pPr>
      <w:r w:rsidDel="00000000" w:rsidR="00000000" w:rsidRPr="00000000">
        <w:rPr>
          <w:rtl w:val="0"/>
        </w:rPr>
        <w:t xml:space="preserve">• Ámbito. Define el modo en que vamos a poder acceder o llamar al procedimiento desde otro punto de la aplicación. El ámbito de los elementos del lenguaje será tratado en un apartado posterior. </w:t>
      </w:r>
    </w:p>
    <w:p w:rsidR="00000000" w:rsidDel="00000000" w:rsidP="00000000" w:rsidRDefault="00000000" w:rsidRPr="00000000" w14:paraId="0000000E">
      <w:pPr>
        <w:jc w:val="both"/>
        <w:rPr/>
      </w:pPr>
      <w:r w:rsidDel="00000000" w:rsidR="00000000" w:rsidRPr="00000000">
        <w:rPr>
          <w:rtl w:val="0"/>
        </w:rPr>
        <w:t xml:space="preserve">• Sub...End Sub. Palabras clave que indican el comienzo y final del procedimiento respectivamente. Cuando hagamos una llamada al procedimiento, el compilador ejecutará el código comprendido entre estas dos palabras clave. </w:t>
      </w:r>
    </w:p>
    <w:p w:rsidR="00000000" w:rsidDel="00000000" w:rsidP="00000000" w:rsidRDefault="00000000" w:rsidRPr="00000000" w14:paraId="0000000F">
      <w:pPr>
        <w:jc w:val="both"/>
        <w:rPr/>
      </w:pPr>
      <w:r w:rsidDel="00000000" w:rsidR="00000000" w:rsidRPr="00000000">
        <w:rPr>
          <w:rtl w:val="0"/>
        </w:rPr>
        <w:t xml:space="preserve">• NombreProcedimiento. Identificador que utilizamos para reconocer y llamar al procedimiento. </w:t>
      </w:r>
    </w:p>
    <w:p w:rsidR="00000000" w:rsidDel="00000000" w:rsidP="00000000" w:rsidRDefault="00000000" w:rsidRPr="00000000" w14:paraId="00000010">
      <w:pPr>
        <w:jc w:val="both"/>
        <w:rPr/>
      </w:pPr>
      <w:r w:rsidDel="00000000" w:rsidR="00000000" w:rsidRPr="00000000">
        <w:rPr>
          <w:rtl w:val="0"/>
        </w:rPr>
        <w:t xml:space="preserve">• ListaParámetros. Lista de variables separadas por comas, y encerradas entre paréntesis, que representan la información que recibe el procedimiento desde el código llamador. </w:t>
      </w:r>
    </w:p>
    <w:p w:rsidR="00000000" w:rsidDel="00000000" w:rsidP="00000000" w:rsidRDefault="00000000" w:rsidRPr="00000000" w14:paraId="00000011">
      <w:pPr>
        <w:jc w:val="both"/>
        <w:rPr/>
      </w:pPr>
      <w:r w:rsidDel="00000000" w:rsidR="00000000" w:rsidRPr="00000000">
        <w:rPr>
          <w:rtl w:val="0"/>
        </w:rPr>
        <w:t xml:space="preserve">• Return. Esta palabra clave permite salir de la ejecución del procedimiento sin haber llegado a su fin. Podemos utilizarla en tantos lugares dentro de un procedimiento como sea necesario. Se recomienda su uso en lugar de Exit Sub, ya que podemos emplear Return para salir de cualquier tipo de procedimiento, con lo cual se unifica la escritura del código. </w:t>
      </w:r>
    </w:p>
    <w:p w:rsidR="00000000" w:rsidDel="00000000" w:rsidP="00000000" w:rsidRDefault="00000000" w:rsidRPr="00000000" w14:paraId="00000012">
      <w:pPr>
        <w:jc w:val="both"/>
        <w:rPr/>
      </w:pPr>
      <w:r w:rsidDel="00000000" w:rsidR="00000000" w:rsidRPr="00000000">
        <w:rPr>
          <w:rtl w:val="0"/>
        </w:rPr>
        <w:t xml:space="preserve">• Exit Sub. Al igual que en el punto anterior, esta palabra clave permite salir de la ejecución del procedimiento sin haber llegado a su fin, pudiendo igualmente, situarla en tantos lugares dentro del procedimiento como sea necesario.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El Código fuente 118 muestra el modo más simple de crear un procedimiento. Escriba el lector este procedimiento en la aplicación de consola sobre la que está realizando las pruebas, a continuación de Main(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drawing>
          <wp:inline distB="0" distT="0" distL="0" distR="0">
            <wp:extent cx="5943600" cy="916305"/>
            <wp:effectExtent b="0" l="0" r="0" t="0"/>
            <wp:docPr descr="A close up of a text&#10;&#10;Description automatically generated" id="2125360612" name="image13.png"/>
            <a:graphic>
              <a:graphicData uri="http://schemas.openxmlformats.org/drawingml/2006/picture">
                <pic:pic>
                  <pic:nvPicPr>
                    <pic:cNvPr descr="A close up of a text&#10;&#10;Description automatically generated" id="0" name="image13.png"/>
                    <pic:cNvPicPr preferRelativeResize="0"/>
                  </pic:nvPicPr>
                  <pic:blipFill>
                    <a:blip r:embed="rId8"/>
                    <a:srcRect b="0" l="0" r="0" t="0"/>
                    <a:stretch>
                      <a:fillRect/>
                    </a:stretch>
                  </pic:blipFill>
                  <pic:spPr>
                    <a:xfrm>
                      <a:off x="0" y="0"/>
                      <a:ext cx="5943600" cy="91630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pStyle w:val="Heading3"/>
        <w:jc w:val="both"/>
        <w:rPr/>
      </w:pPr>
      <w:r w:rsidDel="00000000" w:rsidR="00000000" w:rsidRPr="00000000">
        <w:rPr>
          <w:rtl w:val="0"/>
        </w:rPr>
        <w:t xml:space="preserve">Llamada a un procedimiento Sub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Para realizar una llamada o ejecutar un procedimiento Sub, debemos escribir su nombre en un punto del programa. El Código fuente 119 muestra el </w:t>
      </w:r>
      <w:r w:rsidDel="00000000" w:rsidR="00000000" w:rsidRPr="00000000">
        <w:rPr>
          <w:rtl w:val="0"/>
        </w:rPr>
        <w:t xml:space="preserve">código completo</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del módulo de nuestra aplicación de consola. La ejecución de este programa comienza como es habitual por Main( ), dentro del cual se realiza una llamada al procedimiento Prueba(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drawing>
          <wp:inline distB="0" distT="0" distL="0" distR="0">
            <wp:extent cx="5943600" cy="2606040"/>
            <wp:effectExtent b="0" l="0" r="0" t="0"/>
            <wp:docPr id="2125360611"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943600" cy="260604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En la llamada a un procedimiento Sub, el uso de los paréntesis es opcional, independientemente de si pasamos o no parámetros. No obstante, es muy recomendable especificar dichos paréntesis, ya que aportan una gran claridad a nuestro código, de forma que al leerlo podemos ver rápidamente los puntos en los que se realiza una llamada a una rutina de código. Debido a esto, el IDE sitúa automáticamente los paréntesis en el caso de que no los especifiquemos de forma explícita. No es posible situar la llamada a un procedimiento Sub como parte de una expresión, puesto que este tipo de procedimientos, al no devolver un valor, provocaría un error de compilación. Ver Figura 176.</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drawing>
          <wp:inline distB="0" distT="0" distL="0" distR="0">
            <wp:extent cx="5943600" cy="2394585"/>
            <wp:effectExtent b="0" l="0" r="0" t="0"/>
            <wp:docPr id="212536061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239458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pStyle w:val="Heading3"/>
        <w:jc w:val="both"/>
        <w:rPr/>
      </w:pPr>
      <w:r w:rsidDel="00000000" w:rsidR="00000000" w:rsidRPr="00000000">
        <w:rPr>
          <w:rtl w:val="0"/>
        </w:rPr>
        <w:t xml:space="preserve">Sintaxis de un procedimiento Function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El formato para la escritura de un procedimiento Function se muestra en el Código fuente 120.</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drawing>
          <wp:inline distB="0" distT="0" distL="0" distR="0">
            <wp:extent cx="5943600" cy="1408430"/>
            <wp:effectExtent b="0" l="0" r="0" t="0"/>
            <wp:docPr id="2125360613"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3600" cy="140843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Los elementos que forman parte de este tipo de rutina son los siguientes: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Ámbito. Define el modo en que vamos a poder acceder o llamar al procedimiento desde otro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punto de la aplicación. El ámbito de los elementos del lenguaje será tratado en un apartado posterior.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Function...End Function. Palabras clave que indican el comienzo y final de la función respectivamente. Cuando hagamos una llamada a la función, el compilador ejecutará el código comprendido entre estas dos palabras clave.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NombreFunción. Identificador que utilizamos para reconocer y llamar a la función. En este tipo de procedimiento, también utilizamos su nombre para asignar el valor que será devuelto al código llamador en el modo NombreFunción = Valor, en esta última situación, podemos situar esta expresión de devolución en tantos lugares como necesitemos dentro de la función.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TipoDato. Tipo de dato del valor devuelto como resultado de la ejecución de la función.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ListaParámetros. Lista de variables separadas por comas, y encerradas entre paréntesis, que representan la información que recibe la función desde el código llamador.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Return. Esta palabra clave permite salir de la ejecución de la función devolviendo al mismo tiempo un valor al código que hizo la llamada. Podemos utilizarla dentro de una función, en tantos lugares como necesitemos.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Exit Function. Esta palabra clave permite salir de la ejecución de la función sin haber llegado a su fin. Podemos utilizarla dentro de una función, en tantos lugares como necesitemos.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El Código fuente 121 muestra un sencillo ejemplo de procedimiento Function, en el cual se pide al usuario que introduzca un número que es devuelto como resultado de la función.</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drawing>
          <wp:inline distB="0" distT="0" distL="0" distR="0">
            <wp:extent cx="5943600" cy="1830070"/>
            <wp:effectExtent b="0" l="0" r="0" t="0"/>
            <wp:docPr id="212536061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183007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En el caso de devolver el valor de retorno de una función utilizando el propio nombre de la función, nos encontramos con el problema de que si en un momento determinado tenemos que cambiar el nombre de la función, también deberemos cambiar todos aquellos puntos de la rutina en donde devolvemos el valor. Por este motivo es recomendable el uso de Return </w:t>
      </w:r>
      <w:r w:rsidDel="00000000" w:rsidR="00000000" w:rsidRPr="00000000">
        <w:rPr>
          <w:rtl w:val="0"/>
        </w:rPr>
        <w:t xml:space="preserve">para devolver</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el valor de la función, ya que si tenemos que cambiar el nombre de la función, no será necesario modificar los puntos en los que se devuelve el valor de este tipo de procedimiento.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pStyle w:val="Heading3"/>
        <w:jc w:val="both"/>
        <w:rPr/>
      </w:pPr>
      <w:r w:rsidDel="00000000" w:rsidR="00000000" w:rsidRPr="00000000">
        <w:rPr>
          <w:rtl w:val="0"/>
        </w:rPr>
        <w:t xml:space="preserve">Llamada a un procedimiento Function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Para realizar una llamada o ejecutar un procedimiento Function debemos escribir su nombre en un punto del programa; en este aspecto ambos tipos de procedimiento son iguales. Por otro lado, los puntos que marcan las diferencias entre un Function y un Sub son los siguientes: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Un procedimiento Function devuelve un valor, de modo que si queremos obtenerlo, debemos asignar la llamada a la función a una variable. Los procedimientos Sub no pueden devolver valores.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Debido precisamente a la capacidad de un procedimiento Function de devolver un valor, podemos situar la llamada a una función dentro de una expresión, y operar con el valor de retorno dentro de la expresión, lo cual dota a nuestro código de una mayor flexibilidad. Los procedimientos Sub no pueden formar parte de expresiones.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En el Código fuente 122 vemos varios ejemplos de llamadas a la función Calcular( ), según el modo en que vamos a manipular su valor de retorno.</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drawing>
          <wp:inline distB="0" distT="0" distL="0" distR="0">
            <wp:extent cx="5943600" cy="4267835"/>
            <wp:effectExtent b="0" l="0" r="0" t="0"/>
            <wp:docPr id="2125360615"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426783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drawing>
          <wp:inline distB="0" distT="0" distL="0" distR="0">
            <wp:extent cx="5943600" cy="1178560"/>
            <wp:effectExtent b="0" l="0" r="0" t="0"/>
            <wp:docPr id="2125360618"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117856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pStyle w:val="Heading3"/>
        <w:jc w:val="both"/>
        <w:rPr/>
      </w:pPr>
      <w:r w:rsidDel="00000000" w:rsidR="00000000" w:rsidRPr="00000000">
        <w:rPr>
          <w:rtl w:val="0"/>
        </w:rPr>
        <w:t xml:space="preserve">Paso de parámetros a procedimientos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Un parámetro consiste en un valor que es pasado a un procedimiento. Dicho valor puede ser una variable, constante o expresión. Los procedimientos pueden recibir parámetros en forma de lista de variables separada por comas, siguiendo la sintaxis que vemos en el Código fuente 123.</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drawing>
          <wp:inline distB="0" distT="0" distL="0" distR="0">
            <wp:extent cx="5943600" cy="633095"/>
            <wp:effectExtent b="0" l="0" r="0" t="0"/>
            <wp:docPr id="2125360617"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943600" cy="63309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Las reglas y cuestiones sobre paso de parámetros descritas en los siguientes apartados son válidas tanto para procedimientos como para funciones, excepto en aquellos lugares donde se indique lo contrario.</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pStyle w:val="Heading3"/>
        <w:jc w:val="both"/>
        <w:rPr/>
      </w:pPr>
      <w:r w:rsidDel="00000000" w:rsidR="00000000" w:rsidRPr="00000000">
        <w:rPr>
          <w:rtl w:val="0"/>
        </w:rPr>
        <w:t xml:space="preserve">Tipo de dato de un parámetro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Al igual que hacemos cuando declaramos una variable, al declarar un parámetro debemos especificar el tipo de dato que el parámetro va a contener. Esto será o no obligatorio, en función del modificador establecido en la instrucción Option Strict.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En el Código fuente 124 hemos añadido un parámetro de tipo String al procedimiento Prueba( ). Cuando llamemos desde otro procedimiento a Prueba( ), al pasar desde el código llamador una cadena de caracteres, bien de forma literal o en una variable; el contenido de dicha cadena se traspasará a la variable situada en la lista de parámetros del procedimiento, que posteriormente </w:t>
      </w:r>
      <w:r w:rsidDel="00000000" w:rsidR="00000000" w:rsidRPr="00000000">
        <w:rPr>
          <w:rtl w:val="0"/>
        </w:rPr>
        <w:t xml:space="preserve">visualizamos</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en la consola.</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drawing>
          <wp:inline distB="0" distT="0" distL="0" distR="0">
            <wp:extent cx="5943600" cy="1237615"/>
            <wp:effectExtent b="0" l="0" r="0" t="0"/>
            <wp:docPr descr="A white rectangular object with a black border&#10;&#10;Description automatically generated" id="2125360621" name="image3.png"/>
            <a:graphic>
              <a:graphicData uri="http://schemas.openxmlformats.org/drawingml/2006/picture">
                <pic:pic>
                  <pic:nvPicPr>
                    <pic:cNvPr descr="A white rectangular object with a black border&#10;&#10;Description automatically generated" id="0" name="image3.png"/>
                    <pic:cNvPicPr preferRelativeResize="0"/>
                  </pic:nvPicPr>
                  <pic:blipFill>
                    <a:blip r:embed="rId16"/>
                    <a:srcRect b="0" l="0" r="0" t="0"/>
                    <a:stretch>
                      <a:fillRect/>
                    </a:stretch>
                  </pic:blipFill>
                  <pic:spPr>
                    <a:xfrm>
                      <a:off x="0" y="0"/>
                      <a:ext cx="5943600" cy="123761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drawing>
          <wp:inline distB="0" distT="0" distL="0" distR="0">
            <wp:extent cx="5943600" cy="1016000"/>
            <wp:effectExtent b="0" l="0" r="0" t="0"/>
            <wp:docPr descr="A screenshot of a computer&#10;&#10;Description automatically generated" id="2125360619" name="image16.png"/>
            <a:graphic>
              <a:graphicData uri="http://schemas.openxmlformats.org/drawingml/2006/picture">
                <pic:pic>
                  <pic:nvPicPr>
                    <pic:cNvPr descr="A screenshot of a computer&#10;&#10;Description automatically generated" id="0" name="image16.png"/>
                    <pic:cNvPicPr preferRelativeResize="0"/>
                  </pic:nvPicPr>
                  <pic:blipFill>
                    <a:blip r:embed="rId17"/>
                    <a:srcRect b="0" l="0" r="0" t="0"/>
                    <a:stretch>
                      <a:fillRect/>
                    </a:stretch>
                  </pic:blipFill>
                  <pic:spPr>
                    <a:xfrm>
                      <a:off x="0" y="0"/>
                      <a:ext cx="59436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pStyle w:val="Heading3"/>
        <w:jc w:val="both"/>
        <w:rPr/>
      </w:pPr>
      <w:r w:rsidDel="00000000" w:rsidR="00000000" w:rsidRPr="00000000">
        <w:rPr>
          <w:rtl w:val="0"/>
        </w:rPr>
        <w:t xml:space="preserve">Paso de parámetros por valor y por referencia</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Existen dos modos en el lenguaje de pasar parámetros a un procedimiento: por valor y por referencia. Este aspecto del lenguaje está relacionado con el modo en que el contenido de los parámetros son gestionados internamente en memoria. Ello nos permitirá según el tipo de paso empleado, poder alterar el valor del parámetro en el código que realizó la llamada.</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pStyle w:val="Heading3"/>
        <w:jc w:val="both"/>
        <w:rPr/>
      </w:pPr>
      <w:r w:rsidDel="00000000" w:rsidR="00000000" w:rsidRPr="00000000">
        <w:rPr>
          <w:rtl w:val="0"/>
        </w:rPr>
        <w:t xml:space="preserve">Paso por valor (ByVal)</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Cuando pasamos un parámetro por valor a un procedimiento, la variable que contiene el parámetro puede ser modificada dentro del procedimiento, sin que estos cambios afecten al valor original en el código llamador. Debemos situar en este caso en el procedimiento, la palabra clave ByVal antes del nombre del parámetro. Ver Código fuente 125.</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drawing>
          <wp:inline distB="0" distT="0" distL="0" distR="0">
            <wp:extent cx="5943600" cy="3550920"/>
            <wp:effectExtent b="0" l="0" r="0" t="0"/>
            <wp:docPr descr="A screenshot of a computer program&#10;&#10;Description automatically generated" id="2125360620" name="image12.png"/>
            <a:graphic>
              <a:graphicData uri="http://schemas.openxmlformats.org/drawingml/2006/picture">
                <pic:pic>
                  <pic:nvPicPr>
                    <pic:cNvPr descr="A screenshot of a computer program&#10;&#10;Description automatically generated" id="0" name="image12.png"/>
                    <pic:cNvPicPr preferRelativeResize="0"/>
                  </pic:nvPicPr>
                  <pic:blipFill>
                    <a:blip r:embed="rId18"/>
                    <a:srcRect b="0" l="0" r="0" t="0"/>
                    <a:stretch>
                      <a:fillRect/>
                    </a:stretch>
                  </pic:blipFill>
                  <pic:spPr>
                    <a:xfrm>
                      <a:off x="0" y="0"/>
                      <a:ext cx="5943600" cy="355092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Lo que ocurre en el fuente anterior a nivel de gestión interna en memoria de los parámetros es lo siguiente: cuando se realiza la llamada al procedimiento y se pasa el parámetro, el entorno detecta que se trata de un parámetro pasado por valor, por lo que crea una nueva variable en memoria que será la que </w:t>
      </w:r>
      <w:r w:rsidDel="00000000" w:rsidR="00000000" w:rsidRPr="00000000">
        <w:rPr>
          <w:rtl w:val="0"/>
        </w:rPr>
        <w:t xml:space="preserve">manipulamos</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dentro del procedimiento. La Figura 177 muestra una representación gráfica de este proceso.</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drawing>
          <wp:inline distB="0" distT="0" distL="0" distR="0">
            <wp:extent cx="5943600" cy="3846195"/>
            <wp:effectExtent b="0" l="0" r="0" t="0"/>
            <wp:docPr descr="A diagram of a memory&#10;&#10;Description automatically generated" id="2125360622" name="image11.png"/>
            <a:graphic>
              <a:graphicData uri="http://schemas.openxmlformats.org/drawingml/2006/picture">
                <pic:pic>
                  <pic:nvPicPr>
                    <pic:cNvPr descr="A diagram of a memory&#10;&#10;Description automatically generated" id="0" name="image11.png"/>
                    <pic:cNvPicPr preferRelativeResize="0"/>
                  </pic:nvPicPr>
                  <pic:blipFill>
                    <a:blip r:embed="rId19"/>
                    <a:srcRect b="0" l="0" r="0" t="0"/>
                    <a:stretch>
                      <a:fillRect/>
                    </a:stretch>
                  </pic:blipFill>
                  <pic:spPr>
                    <a:xfrm>
                      <a:off x="0" y="0"/>
                      <a:ext cx="5943600" cy="3846195"/>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En el entorno de .NET Framework, por defecto, todos los parámetros son pasados por valor. Esto lo puede comprobar el lector de un modo muy simple: si al declarar un parámetro no especifica el tipo de paso, el IDE automáticamente situará junto a ese parámetro la palabra clave ByVal. Se recomienda siempre que sea posible el paso de parámetros por valor, ya que ayuda a generar un código más optimizado y contribuye a mejorar la encapsulación.</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pStyle w:val="Heading3"/>
        <w:jc w:val="both"/>
        <w:rPr/>
      </w:pPr>
      <w:r w:rsidDel="00000000" w:rsidR="00000000" w:rsidRPr="00000000">
        <w:rPr>
          <w:rtl w:val="0"/>
        </w:rPr>
        <w:t xml:space="preserve"> Paso por referencia (ByRef)</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Cuando pasamos un parámetro por referencia a un procedimiento, si modificamos dentro del procedimiento la variable que contiene el parámetro, dichos cambios en este caso sí afectarán al código llamador. Debemos situar en este caso en el procedimiento, la palabra clave ByRef antes del nombre del parámetro. Cambiemos el código del anterior ejemplo, haciendo que en este caso, el parámetro sea pasado por referencia y observemos los resultados. Ver Código fuente 126.</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drawing>
          <wp:inline distB="0" distT="0" distL="0" distR="0">
            <wp:extent cx="6127179" cy="2477055"/>
            <wp:effectExtent b="0" l="0" r="0" t="0"/>
            <wp:docPr descr="A screenshot of a computer&#10;&#10;Description automatically generated" id="2125360623" name="image9.png"/>
            <a:graphic>
              <a:graphicData uri="http://schemas.openxmlformats.org/drawingml/2006/picture">
                <pic:pic>
                  <pic:nvPicPr>
                    <pic:cNvPr descr="A screenshot of a computer&#10;&#10;Description automatically generated" id="0" name="image9.png"/>
                    <pic:cNvPicPr preferRelativeResize="0"/>
                  </pic:nvPicPr>
                  <pic:blipFill>
                    <a:blip r:embed="rId20"/>
                    <a:srcRect b="0" l="0" r="0" t="0"/>
                    <a:stretch>
                      <a:fillRect/>
                    </a:stretch>
                  </pic:blipFill>
                  <pic:spPr>
                    <a:xfrm>
                      <a:off x="0" y="0"/>
                      <a:ext cx="6127179" cy="2477055"/>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drawing>
          <wp:inline distB="0" distT="0" distL="0" distR="0">
            <wp:extent cx="6096000" cy="1153160"/>
            <wp:effectExtent b="0" l="0" r="0" t="0"/>
            <wp:docPr descr="A screenshot of a computer&#10;&#10;Description automatically generated" id="2125360624" name="image14.png"/>
            <a:graphic>
              <a:graphicData uri="http://schemas.openxmlformats.org/drawingml/2006/picture">
                <pic:pic>
                  <pic:nvPicPr>
                    <pic:cNvPr descr="A screenshot of a computer&#10;&#10;Description automatically generated" id="0" name="image14.png"/>
                    <pic:cNvPicPr preferRelativeResize="0"/>
                  </pic:nvPicPr>
                  <pic:blipFill>
                    <a:blip r:embed="rId21"/>
                    <a:srcRect b="0" l="0" r="0" t="0"/>
                    <a:stretch>
                      <a:fillRect/>
                    </a:stretch>
                  </pic:blipFill>
                  <pic:spPr>
                    <a:xfrm>
                      <a:off x="0" y="0"/>
                      <a:ext cx="6096000" cy="115316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Lo que ocurre en el fuente anterior a nivel de gestión interna en memoria de los parámetros es lo siguiente: cuando se realiza la llamada al procedimiento y se pasa el parámetro, el entorno detecta que se trata de un parámetro pasado por referencia, y tanto la variable del código llamador como la del procedimiento llamado utilizan la misma dirección de memoria o referencia hacia los datos, por lo que los cambios realizados en un procedimiento afectarán también al otro. La Figura 178 muestra una representación gráfica de este proceso.</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drawing>
          <wp:inline distB="0" distT="0" distL="0" distR="0">
            <wp:extent cx="5943600" cy="3818255"/>
            <wp:effectExtent b="0" l="0" r="0" t="0"/>
            <wp:docPr descr="A diagram of a memory&#10;&#10;Description automatically generated" id="2125360625" name="image10.png"/>
            <a:graphic>
              <a:graphicData uri="http://schemas.openxmlformats.org/drawingml/2006/picture">
                <pic:pic>
                  <pic:nvPicPr>
                    <pic:cNvPr descr="A diagram of a memory&#10;&#10;Description automatically generated" id="0" name="image10.png"/>
                    <pic:cNvPicPr preferRelativeResize="0"/>
                  </pic:nvPicPr>
                  <pic:blipFill>
                    <a:blip r:embed="rId22"/>
                    <a:srcRect b="0" l="0" r="0" t="0"/>
                    <a:stretch>
                      <a:fillRect/>
                    </a:stretch>
                  </pic:blipFill>
                  <pic:spPr>
                    <a:xfrm>
                      <a:off x="0" y="0"/>
                      <a:ext cx="5943600" cy="3818255"/>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GT"/>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725FF7"/>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unhideWhenUsed w:val="1"/>
    <w:qFormat w:val="1"/>
    <w:rsid w:val="00725FF7"/>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unhideWhenUsed w:val="1"/>
    <w:qFormat w:val="1"/>
    <w:rsid w:val="00725FF7"/>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725FF7"/>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725FF7"/>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725FF7"/>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725FF7"/>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725FF7"/>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725FF7"/>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725FF7"/>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725FF7"/>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725FF7"/>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725FF7"/>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725FF7"/>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725FF7"/>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725FF7"/>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725FF7"/>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725FF7"/>
    <w:rPr>
      <w:rFonts w:cstheme="majorBidi" w:eastAsiaTheme="majorEastAsia"/>
      <w:color w:val="272727" w:themeColor="text1" w:themeTint="0000D8"/>
    </w:rPr>
  </w:style>
  <w:style w:type="paragraph" w:styleId="Title">
    <w:name w:val="Title"/>
    <w:basedOn w:val="Normal"/>
    <w:next w:val="Normal"/>
    <w:link w:val="TitleChar"/>
    <w:uiPriority w:val="10"/>
    <w:qFormat w:val="1"/>
    <w:rsid w:val="00725FF7"/>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725FF7"/>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725FF7"/>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725FF7"/>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725FF7"/>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725FF7"/>
    <w:rPr>
      <w:i w:val="1"/>
      <w:iCs w:val="1"/>
      <w:color w:val="404040" w:themeColor="text1" w:themeTint="0000BF"/>
    </w:rPr>
  </w:style>
  <w:style w:type="paragraph" w:styleId="ListParagraph">
    <w:name w:val="List Paragraph"/>
    <w:basedOn w:val="Normal"/>
    <w:uiPriority w:val="34"/>
    <w:qFormat w:val="1"/>
    <w:rsid w:val="00725FF7"/>
    <w:pPr>
      <w:ind w:left="720"/>
      <w:contextualSpacing w:val="1"/>
    </w:pPr>
  </w:style>
  <w:style w:type="character" w:styleId="IntenseEmphasis">
    <w:name w:val="Intense Emphasis"/>
    <w:basedOn w:val="DefaultParagraphFont"/>
    <w:uiPriority w:val="21"/>
    <w:qFormat w:val="1"/>
    <w:rsid w:val="00725FF7"/>
    <w:rPr>
      <w:i w:val="1"/>
      <w:iCs w:val="1"/>
      <w:color w:val="0f4761" w:themeColor="accent1" w:themeShade="0000BF"/>
    </w:rPr>
  </w:style>
  <w:style w:type="paragraph" w:styleId="IntenseQuote">
    <w:name w:val="Intense Quote"/>
    <w:basedOn w:val="Normal"/>
    <w:next w:val="Normal"/>
    <w:link w:val="IntenseQuoteChar"/>
    <w:uiPriority w:val="30"/>
    <w:qFormat w:val="1"/>
    <w:rsid w:val="00725FF7"/>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725FF7"/>
    <w:rPr>
      <w:i w:val="1"/>
      <w:iCs w:val="1"/>
      <w:color w:val="0f4761" w:themeColor="accent1" w:themeShade="0000BF"/>
    </w:rPr>
  </w:style>
  <w:style w:type="character" w:styleId="IntenseReference">
    <w:name w:val="Intense Reference"/>
    <w:basedOn w:val="DefaultParagraphFont"/>
    <w:uiPriority w:val="32"/>
    <w:qFormat w:val="1"/>
    <w:rsid w:val="00725FF7"/>
    <w:rPr>
      <w:b w:val="1"/>
      <w:bCs w:val="1"/>
      <w:smallCaps w:val="1"/>
      <w:color w:val="0f4761" w:themeColor="accent1" w:themeShade="0000BF"/>
      <w:spacing w:val="5"/>
    </w:rPr>
  </w:style>
  <w:style w:type="paragraph" w:styleId="NoSpacing">
    <w:name w:val="No Spacing"/>
    <w:uiPriority w:val="1"/>
    <w:qFormat w:val="1"/>
    <w:rsid w:val="00B55CDC"/>
    <w:pPr>
      <w:spacing w:after="0" w:line="240" w:lineRule="auto"/>
    </w:p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image" Target="media/image8.png"/><Relationship Id="rId22" Type="http://schemas.openxmlformats.org/officeDocument/2006/relationships/image" Target="media/image10.png"/><Relationship Id="rId10" Type="http://schemas.openxmlformats.org/officeDocument/2006/relationships/image" Target="media/image4.png"/><Relationship Id="rId21" Type="http://schemas.openxmlformats.org/officeDocument/2006/relationships/image" Target="media/image14.png"/><Relationship Id="rId13" Type="http://schemas.openxmlformats.org/officeDocument/2006/relationships/image" Target="media/image1.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15" Type="http://schemas.openxmlformats.org/officeDocument/2006/relationships/image" Target="media/image7.png"/><Relationship Id="rId14" Type="http://schemas.openxmlformats.org/officeDocument/2006/relationships/image" Target="media/image2.png"/><Relationship Id="rId17" Type="http://schemas.openxmlformats.org/officeDocument/2006/relationships/image" Target="media/image16.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customXml" Target="../customXML/item1.xml"/><Relationship Id="rId18" Type="http://schemas.openxmlformats.org/officeDocument/2006/relationships/image" Target="media/image12.png"/><Relationship Id="rId7" Type="http://schemas.openxmlformats.org/officeDocument/2006/relationships/image" Target="media/image6.png"/><Relationship Id="rId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RJn58rNKDWpLdRkohSf/MgmIQg==">CgMxLjA4AHIhMXNUMzdfYS13RUo2UUo2Y0c4eXZqV1BjRTl5SmRoc25i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2024-11-06T06:22:00Z</dcterms:created>
  <dc:creator>Libni Pineda</dc:creator>
</cp:coreProperties>
</file>