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6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ab/>
        <w:tab/>
      </w:r>
      <w:r w:rsidDel="00000000" w:rsidR="00000000" w:rsidRPr="00000000">
        <w:rPr>
          <w:sz w:val="30"/>
          <w:szCs w:val="30"/>
          <w:rtl w:val="0"/>
        </w:rPr>
        <w:t xml:space="preserve">Procesos e Hilos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ab/>
        <w:tab/>
      </w:r>
      <w:r w:rsidDel="00000000" w:rsidR="00000000" w:rsidRPr="00000000">
        <w:rPr>
          <w:sz w:val="30"/>
          <w:szCs w:val="30"/>
          <w:rtl w:val="0"/>
        </w:rPr>
        <w:t xml:space="preserve">Consideraciones de diseño de hilos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Explore los desafíos de diseño de las aplicaciones multiproceso.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Estudie las condiciones </w:t>
      </w:r>
      <w:r w:rsidDel="00000000" w:rsidR="00000000" w:rsidRPr="00000000">
        <w:rPr>
          <w:sz w:val="30"/>
          <w:szCs w:val="30"/>
          <w:rtl w:val="0"/>
        </w:rPr>
        <w:t xml:space="preserve">de carrera</w:t>
      </w:r>
      <w:r w:rsidDel="00000000" w:rsidR="00000000" w:rsidRPr="00000000">
        <w:rPr>
          <w:sz w:val="30"/>
          <w:szCs w:val="30"/>
          <w:rtl w:val="0"/>
        </w:rPr>
        <w:t xml:space="preserve"> y cómo prevenirlas.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Implemente métodos de sincronización de subprocesos utilizando mutexes y bloqueos.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D">
      <w:pPr>
        <w:ind w:left="144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Esta clase ayuda a los estudiantes a dominar la gestión y sincronización de subprocesos, habilidades esenciales para desarrollar aplicaciones y sistemas operativos robustos y eficientes.</w:t>
      </w:r>
    </w:p>
    <w:p w:rsidR="00000000" w:rsidDel="00000000" w:rsidP="00000000" w:rsidRDefault="00000000" w:rsidRPr="00000000" w14:paraId="0000000E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93.90420758591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2.1759146608529"/>
        <w:gridCol w:w="3996.8363781474163"/>
        <w:gridCol w:w="1154.320975638243"/>
        <w:gridCol w:w="764.7376463603359"/>
        <w:gridCol w:w="779.166658555814"/>
        <w:gridCol w:w="779.166658555814"/>
        <w:gridCol w:w="779.166658555814"/>
        <w:gridCol w:w="779.166658555814"/>
        <w:gridCol w:w="779.166658555814"/>
        <w:tblGridChange w:id="0">
          <w:tblGrid>
            <w:gridCol w:w="1082.1759146608529"/>
            <w:gridCol w:w="3996.8363781474163"/>
            <w:gridCol w:w="1154.320975638243"/>
            <w:gridCol w:w="764.7376463603359"/>
            <w:gridCol w:w="779.166658555814"/>
            <w:gridCol w:w="779.166658555814"/>
            <w:gridCol w:w="779.166658555814"/>
            <w:gridCol w:w="779.166658555814"/>
            <w:gridCol w:w="779.166658555814"/>
          </w:tblGrid>
        </w:tblGridChange>
      </w:tblGrid>
      <w:tr>
        <w:trPr>
          <w:cantSplit w:val="0"/>
          <w:trHeight w:val="356.23740660638936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vMerge w:val="restart"/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vMerge w:val="restart"/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vMerge w:val="restart"/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0" w:before="0" w:line="240" w:lineRule="auto"/>
              <w:ind w:left="0" w:firstLine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Consideraciones de diseño de hilos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56.23740660638936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Condiciones de carrera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56.23740660638936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sincronización de subprocesos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56.23740660638936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Mutexes, semáforos y bloqueos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56.23740660638936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Deadlocks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56.2374066063894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Sincronización de subprocesos con mutexes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56.2374066063894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Preguntas y respuestas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56.2374066063894" w:hRule="atLeast"/>
          <w:tblHeader w:val="0"/>
        </w:trPr>
        <w:tc>
          <w:tcPr>
            <w:gridSpan w:val="8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74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76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Una vez establecido el cronograma se deben indicar las actividades y ponderaciones.</w:t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rHeight w:val="417.978515625" w:hRule="atLeast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7C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7D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E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Sistemas Operativos 2</w:t>
    </w:r>
  </w:p>
  <w:p w:rsidR="00000000" w:rsidDel="00000000" w:rsidP="00000000" w:rsidRDefault="00000000" w:rsidRPr="00000000" w14:paraId="00000079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Laboratorio</w:t>
    </w:r>
  </w:p>
  <w:p w:rsidR="00000000" w:rsidDel="00000000" w:rsidP="00000000" w:rsidRDefault="00000000" w:rsidRPr="00000000" w14:paraId="0000007A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Okv29lsHf+A/FxJTSqq+6YyCyQ==">CgMxLjA4AHIhMUpaZ1NzcldvcDhieEFTcTYyS3JCVUEzZi1Gamc2WlhF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