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Cuestionario</w:t>
        <w:br w:type="textWrapping"/>
      </w:r>
      <w:r w:rsidDel="00000000" w:rsidR="00000000" w:rsidRPr="00000000">
        <w:rPr>
          <w:rtl w:val="0"/>
        </w:rPr>
        <w:t xml:space="preserve">Responder las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el ruteo InterVLAN y cuál es su propósito en una red?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Describe dos métodos comunes para implementar el ruteo InterVLAN en una red.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un Router-on-a-Stick y cómo facilitar el r?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¿En qué tipo de red sería más adecuado utilizar el implem?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los pasos básicos para configurar un 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¿Por qué es necesario configurar subinterfaces en una ruta?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función cumple la configuración de encapsulación en cada subinterfaz en Router-o?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es el rol del enlace troncal en el método de Router-on-a-Stick y por qué es importante?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comandos se utilizan para crear y configurar una subinterfaz para una VLAN específica en Router-on-a-Stick?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cómo se puede verificar la conectividad entre VLAN en una configuración de enrutador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¿Quiénes son algunos?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¿Que le pasa?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puede un interruptor configurado en modo troncal interactuar con un Router-on-a-Stick para soportar múltiples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Mencione al menos un comando para verificar el estado de las subinterfaces en una configuración de Router-on-a-Stick.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Redes de Computadoras1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S11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