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Cuestionario</w:t>
        <w:br w:type="textWrapping"/>
      </w:r>
      <w:r w:rsidDel="00000000" w:rsidR="00000000" w:rsidRPr="00000000">
        <w:rPr>
          <w:rtl w:val="0"/>
        </w:rPr>
        <w:t xml:space="preserve"> Responder las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es RIP y cuál es su función principal en el enrutamiento de redes?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Explique las principales características de RIP v1 y en qué tipo de redes es más adecuado utilizarlo.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¿Cuáles son las mejoras introducidas en RIP v2 en co?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es RIPng y en q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Describe las diferencias principales entre RIP v1, RIP v2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¿En qué escenarios sería recomendable utilizar RIPng en lugar de otras versiones de RIP?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Explique los pasos básicos para configurar RIP v2 en un enrutador.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¿Por qué es importante especificar las redes 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 es el comando para habilitar RIPng en un enrutador y qué aspectos deben configurarse?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¿Cómo se verifica la tabla de rutas en un enrutador que está utilizando RIP?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es la autenticación en RIP v2 y por qué es importante en redes modernas?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Describa el proceso para configurar la autenticación en RIP v2 en un enrutador.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¿Cuáles son los tipos de autenticación soportados en RIP v2 y cuál es el más seguro?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¿Cómo se puede verificar si la autenticación en RIP v2 está funcionando correctamente?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Mencione al menos una ventaja y una limitación de utilizar RIP v2 con autenticación en un tamaño rojo medio.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  <w:t xml:space="preserve">Redes de Computadoras1</w:t>
    </w:r>
  </w:p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  <w:t xml:space="preserve">S13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