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Cuestionario</w:t>
        <w:br w:type="textWrapping"/>
      </w:r>
      <w:r w:rsidDel="00000000" w:rsidR="00000000" w:rsidRPr="00000000">
        <w:rPr>
          <w:rtl w:val="0"/>
        </w:rPr>
        <w:t xml:space="preserve"> Responder las siguientes preguntas: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EIGRP y en qué tipo de redes es más ventajoso utilizarlo?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los pasos básicos para implementar EIGRP en una 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la función de la métrica en EIGRP y cómo influye en la selección de rutas?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el protocolo BGP y en qué contexto se utiliza combinado?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en qué consiste el ruteo externo con BGP y cómo se diferencia del ruteo interno.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los elementos principales necesarios para configurar una simulación de ruteo externo con BGP?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el ruteo multicast y en qué situaciones es útil implementarlo en una red?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soporta EIGRP el ruteo multicast y qué beneficios ofrece en redes con tráfico multicast?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cómo OSPF maneja el ruteo multicast y su uso en redes grandes.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la diferencia entre el ruteo unicast y multicast en términos de transmisión de datos?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pasos deben seguirse para habilitar el ruteo multicast en una red que utiliza OSPF?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verifica el estado de las rutas multicast en una red configurada con EIGRP?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consideraciones de seguridad se deben tener en cuenta al implementar ruteo multicast con OSPF?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algunos desafíos comunes al implementar ruteo multicast en redes grandes con EIGRP y OSPF?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comando puede utilizarse para monitorear el tráfico multicast en una red que utiliza EIGRP?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S14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