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1440" w:line="240" w:lineRule="auto"/>
        <w:rPr>
          <w:rFonts w:ascii="Proxima Nova" w:cs="Proxima Nova" w:eastAsia="Proxima Nova" w:hAnsi="Proxima Nova"/>
          <w:b w:val="1"/>
          <w:bCs w:val="1"/>
          <w:color w:val="404040"/>
          <w:sz w:val="96"/>
          <w:szCs w:val="96"/>
        </w:rPr>
      </w:pPr>
      <w:bookmarkStart w:colFirst="0" w:colLast="0" w:name="_aczyuw2yex2w" w:id="0"/>
      <w:bookmarkEnd w:id="0"/>
      <w:r w:rsidDel="00000000" w:rsidR="00000000" w:rsidRPr="00000000">
        <w:rPr>
          <w:rFonts w:ascii="Proxima Nova" w:cs="Proxima Nova" w:eastAsia="Proxima Nova" w:hAnsi="Proxima Nova"/>
          <w:color w:val="039be5"/>
          <w:sz w:val="72"/>
          <w:szCs w:val="72"/>
          <w:rtl w:val="0"/>
        </w:rPr>
        <w:t xml:space="preserve">Definición, Funciones y Componentes del Análisis Léxico</w:t>
      </w:r>
      <w:r w:rsidDel="00000000" w:rsidR="00000000" w:rsidRPr="00000000">
        <w:rPr>
          <w:rtl w:val="0"/>
        </w:rPr>
      </w:r>
    </w:p>
    <w:p w:rsidR="00000000" w:rsidDel="00000000" w:rsidP="00000000" w:rsidRDefault="00000000" w:rsidRPr="00000000" w14:paraId="00000002">
      <w:pPr>
        <w:spacing w:before="200" w:line="30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447675" cy="57150"/>
            <wp:effectExtent b="0" l="0" r="0" t="0"/>
            <wp:docPr descr="línea corta" id="2" name="image2.png"/>
            <a:graphic>
              <a:graphicData uri="http://schemas.openxmlformats.org/drawingml/2006/picture">
                <pic:pic>
                  <pic:nvPicPr>
                    <pic:cNvPr descr="línea corta" id="0" name="image2.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200" w:line="30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Tutores Organización de Lenguajes y Compiladores 1, 2024-2025</w:t>
        <w:br w:type="textWrapping"/>
      </w:r>
    </w:p>
    <w:p w:rsidR="00000000" w:rsidDel="00000000" w:rsidP="00000000" w:rsidRDefault="00000000" w:rsidRPr="00000000" w14:paraId="00000004">
      <w:pP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5">
      <w:pP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6">
      <w:pP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7">
      <w:pP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8">
      <w:pP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9">
      <w:pPr>
        <w:spacing w:before="200" w:line="300" w:lineRule="auto"/>
        <w:rPr>
          <w:rFonts w:ascii="Proxima Nova" w:cs="Proxima Nova" w:eastAsia="Proxima Nova" w:hAnsi="Proxima Nova"/>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190500</wp:posOffset>
            </wp:positionV>
            <wp:extent cx="4991100" cy="1079500"/>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91100" cy="1079500"/>
                    </a:xfrm>
                    <a:prstGeom prst="rect"/>
                    <a:ln/>
                  </pic:spPr>
                </pic:pic>
              </a:graphicData>
            </a:graphic>
          </wp:anchor>
        </w:drawing>
      </w:r>
    </w:p>
    <w:p w:rsidR="00000000" w:rsidDel="00000000" w:rsidP="00000000" w:rsidRDefault="00000000" w:rsidRPr="00000000" w14:paraId="0000000A">
      <w:pP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B">
      <w:pP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C">
      <w:pP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D">
      <w:pP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E">
      <w:pPr>
        <w:spacing w:before="200" w:line="300" w:lineRule="auto"/>
        <w:rPr>
          <w:rFonts w:ascii="Proxima Nova" w:cs="Proxima Nova" w:eastAsia="Proxima Nova" w:hAnsi="Proxima Nova"/>
        </w:rPr>
      </w:pPr>
      <w:r w:rsidDel="00000000" w:rsidR="00000000" w:rsidRPr="00000000">
        <w:rPr>
          <w:rFonts w:ascii="Proxima Nova" w:cs="Proxima Nova" w:eastAsia="Proxima Nova" w:hAnsi="Proxima Nova"/>
          <w:rtl w:val="0"/>
        </w:rPr>
        <w:br w:type="textWrapping"/>
        <w:t xml:space="preserve">Universidad San Carlos de Guatemala </w:t>
      </w:r>
    </w:p>
    <w:p w:rsidR="00000000" w:rsidDel="00000000" w:rsidP="00000000" w:rsidRDefault="00000000" w:rsidRPr="00000000" w14:paraId="0000000F">
      <w:pPr>
        <w:spacing w:before="200" w:line="30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Facultad de ingeniería.</w:t>
      </w:r>
    </w:p>
    <w:p w:rsidR="00000000" w:rsidDel="00000000" w:rsidP="00000000" w:rsidRDefault="00000000" w:rsidRPr="00000000" w14:paraId="00000010">
      <w:pPr>
        <w:pStyle w:val="Title"/>
        <w:keepNext w:val="0"/>
        <w:keepLines w:val="0"/>
        <w:spacing w:before="280" w:lineRule="auto"/>
        <w:rPr/>
      </w:pPr>
      <w:bookmarkStart w:colFirst="0" w:colLast="0" w:name="_r38tsmurnffb" w:id="1"/>
      <w:bookmarkEnd w:id="1"/>
      <w:r w:rsidDel="00000000" w:rsidR="00000000" w:rsidRPr="00000000">
        <w:rPr>
          <w:rFonts w:ascii="Proxima Nova" w:cs="Proxima Nova" w:eastAsia="Proxima Nova" w:hAnsi="Proxima Nova"/>
          <w:sz w:val="22"/>
          <w:szCs w:val="22"/>
          <w:rtl w:val="0"/>
        </w:rPr>
        <w:t xml:space="preserve">Ingeniería en ciencias y sistemas</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sdt>
      <w:sdtPr>
        <w:id w:val="-1914369503"/>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3uel5hom1j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Análisis Léxico</w:t>
              <w:br w:type="textWrapping"/>
              <w:t xml:space="preserve">Definición</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06cjngu9id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Componentes del Análisis Léxico</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k0jb5kdkqv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Funciones</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uhayep6ki12v" w:id="2"/>
      <w:bookmarkEnd w:id="2"/>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spacing w:after="40" w:before="220" w:lineRule="auto"/>
        <w:rPr/>
      </w:pPr>
      <w:bookmarkStart w:colFirst="0" w:colLast="0" w:name="_a3uel5hom1jx" w:id="3"/>
      <w:bookmarkEnd w:id="3"/>
      <w:r w:rsidDel="00000000" w:rsidR="00000000" w:rsidRPr="00000000">
        <w:rPr>
          <w:rtl w:val="0"/>
        </w:rPr>
        <w:t xml:space="preserve">Análisis Léxico</w:t>
        <w:br w:type="textWrapping"/>
        <w:t xml:space="preserve">Definición</w:t>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El análisis léxico es la primera fase en el proceso de compilación de un programa. Su objetivo es convertir el código fuente (una secuencia de caracteres) en unidades significativas llamadas tokens, que serán utilizadas por el analizador sintáctico. Este proceso se realiza mediante un analizador léxico; también llamado lexer o scanner, que puede implementarse manualmente o generarse con herramientas como Lex o Flex.</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pStyle w:val="Heading1"/>
        <w:spacing w:after="40" w:before="220" w:lineRule="auto"/>
        <w:rPr/>
      </w:pPr>
      <w:bookmarkStart w:colFirst="0" w:colLast="0" w:name="_o06cjngu9id1" w:id="4"/>
      <w:bookmarkEnd w:id="4"/>
      <w:r w:rsidDel="00000000" w:rsidR="00000000" w:rsidRPr="00000000">
        <w:rPr>
          <w:rtl w:val="0"/>
        </w:rPr>
        <w:t xml:space="preserve">Componentes del Análisis Léxico</w:t>
      </w:r>
    </w:p>
    <w:p w:rsidR="00000000" w:rsidDel="00000000" w:rsidP="00000000" w:rsidRDefault="00000000" w:rsidRPr="00000000" w14:paraId="0000002E">
      <w:pPr>
        <w:numPr>
          <w:ilvl w:val="0"/>
          <w:numId w:val="1"/>
        </w:numPr>
        <w:spacing w:after="200" w:before="220" w:lineRule="auto"/>
        <w:ind w:left="720" w:hanging="360"/>
        <w:rPr>
          <w:u w:val="none"/>
        </w:rPr>
      </w:pPr>
      <w:r w:rsidDel="00000000" w:rsidR="00000000" w:rsidRPr="00000000">
        <w:rPr>
          <w:b w:val="1"/>
          <w:bCs w:val="1"/>
          <w:rtl w:val="0"/>
        </w:rPr>
        <w:t xml:space="preserve">Tokens: </w:t>
      </w:r>
      <w:r w:rsidDel="00000000" w:rsidR="00000000" w:rsidRPr="00000000">
        <w:rPr>
          <w:rtl w:val="0"/>
        </w:rPr>
        <w:t xml:space="preserve">Son las unidades mínimas con significado en el lenguaje (ejemplo: palabras clave, operadores, identificadores). Cada token tiene un tipo (ejemplo: INT, IF, ID) y a veces tiene un valor (ejemplo: el número 42, la variable x). </w:t>
      </w:r>
      <w:r w:rsidDel="00000000" w:rsidR="00000000" w:rsidRPr="00000000">
        <w:rPr>
          <w:rtl w:val="0"/>
        </w:rPr>
      </w:r>
    </w:p>
    <w:p w:rsidR="00000000" w:rsidDel="00000000" w:rsidP="00000000" w:rsidRDefault="00000000" w:rsidRPr="00000000" w14:paraId="0000002F">
      <w:pPr>
        <w:numPr>
          <w:ilvl w:val="0"/>
          <w:numId w:val="1"/>
        </w:numPr>
        <w:spacing w:after="200" w:lineRule="auto"/>
        <w:ind w:left="720" w:hanging="360"/>
      </w:pPr>
      <w:r w:rsidDel="00000000" w:rsidR="00000000" w:rsidRPr="00000000">
        <w:rPr>
          <w:b w:val="1"/>
          <w:bCs w:val="1"/>
          <w:rtl w:val="0"/>
        </w:rPr>
        <w:t xml:space="preserve">Patrones</w:t>
      </w:r>
      <w:r w:rsidDel="00000000" w:rsidR="00000000" w:rsidRPr="00000000">
        <w:rPr>
          <w:rtl w:val="0"/>
        </w:rPr>
        <w:t xml:space="preserve">: Reglas que definen la estructura de los tokens mediante expresiones regulares. Por ejemplo, un identificador puede seguir el patrón [a-zA-Z_][a-zA-Z0-9_]*</w:t>
      </w:r>
    </w:p>
    <w:p w:rsidR="00000000" w:rsidDel="00000000" w:rsidP="00000000" w:rsidRDefault="00000000" w:rsidRPr="00000000" w14:paraId="00000030">
      <w:pPr>
        <w:numPr>
          <w:ilvl w:val="0"/>
          <w:numId w:val="1"/>
        </w:numPr>
        <w:spacing w:after="200" w:lineRule="auto"/>
        <w:ind w:left="720" w:hanging="360"/>
      </w:pPr>
      <w:r w:rsidDel="00000000" w:rsidR="00000000" w:rsidRPr="00000000">
        <w:rPr>
          <w:b w:val="1"/>
          <w:bCs w:val="1"/>
          <w:rtl w:val="0"/>
        </w:rPr>
        <w:t xml:space="preserve">Lexema</w:t>
      </w:r>
      <w:r w:rsidDel="00000000" w:rsidR="00000000" w:rsidRPr="00000000">
        <w:rPr>
          <w:rtl w:val="0"/>
        </w:rPr>
        <w:t xml:space="preserve">:Es la secuencia de caracteres concretos del código fuente que coincide con un patrón definido para un token. Representa "Qué" se escribió en el código (forma literal). Como ejemplos tenemos: "edad" es el lexema del token ID (identificador) y "25" es el lexema del token INT (número entero). </w:t>
      </w:r>
    </w:p>
    <w:p w:rsidR="00000000" w:rsidDel="00000000" w:rsidP="00000000" w:rsidRDefault="00000000" w:rsidRPr="00000000" w14:paraId="00000031">
      <w:pPr>
        <w:numPr>
          <w:ilvl w:val="0"/>
          <w:numId w:val="1"/>
        </w:numPr>
        <w:spacing w:after="200" w:before="0" w:lineRule="auto"/>
        <w:ind w:left="720" w:hanging="360"/>
        <w:rPr>
          <w:u w:val="none"/>
        </w:rPr>
      </w:pPr>
      <w:r w:rsidDel="00000000" w:rsidR="00000000" w:rsidRPr="00000000">
        <w:rPr>
          <w:b w:val="1"/>
          <w:bCs w:val="1"/>
          <w:rtl w:val="0"/>
        </w:rPr>
        <w:t xml:space="preserve">Tabla de Símbolos</w:t>
      </w:r>
      <w:r w:rsidDel="00000000" w:rsidR="00000000" w:rsidRPr="00000000">
        <w:rPr>
          <w:rtl w:val="0"/>
        </w:rPr>
        <w:t xml:space="preserve">: Estructura de datos que almacena información sobre identificadores (variables, funciones, etc.). Esta facilita la gestión de ámbitos y la detección de errores</w:t>
      </w:r>
    </w:p>
    <w:p w:rsidR="00000000" w:rsidDel="00000000" w:rsidP="00000000" w:rsidRDefault="00000000" w:rsidRPr="00000000" w14:paraId="00000032">
      <w:pPr>
        <w:numPr>
          <w:ilvl w:val="0"/>
          <w:numId w:val="1"/>
        </w:numPr>
        <w:spacing w:after="200" w:lineRule="auto"/>
        <w:ind w:left="720" w:hanging="360"/>
      </w:pPr>
      <w:r w:rsidDel="00000000" w:rsidR="00000000" w:rsidRPr="00000000">
        <w:rPr>
          <w:b w:val="1"/>
          <w:bCs w:val="1"/>
          <w:rtl w:val="0"/>
        </w:rPr>
        <w:t xml:space="preserve">Eliminación de elementos Irrelevantes</w:t>
      </w:r>
      <w:r w:rsidDel="00000000" w:rsidR="00000000" w:rsidRPr="00000000">
        <w:rPr>
          <w:rtl w:val="0"/>
        </w:rPr>
        <w:t xml:space="preserve">: El lexer ignora comentarios, espacios en blanco y todos los patrones que el lenguaje define como innecesarios o irrelevantes.</w:t>
      </w:r>
    </w:p>
    <w:p w:rsidR="00000000" w:rsidDel="00000000" w:rsidP="00000000" w:rsidRDefault="00000000" w:rsidRPr="00000000" w14:paraId="00000033">
      <w:pPr>
        <w:numPr>
          <w:ilvl w:val="0"/>
          <w:numId w:val="1"/>
        </w:numPr>
        <w:spacing w:after="200" w:lineRule="auto"/>
        <w:ind w:left="720" w:hanging="360"/>
      </w:pPr>
      <w:r w:rsidDel="00000000" w:rsidR="00000000" w:rsidRPr="00000000">
        <w:rPr>
          <w:b w:val="1"/>
          <w:bCs w:val="1"/>
          <w:rtl w:val="0"/>
        </w:rPr>
        <w:t xml:space="preserve">Manejo de Errores Léxicos</w:t>
      </w:r>
      <w:r w:rsidDel="00000000" w:rsidR="00000000" w:rsidRPr="00000000">
        <w:rPr>
          <w:rtl w:val="0"/>
        </w:rPr>
        <w:t xml:space="preserve">: Detecta símbolos no válidos (ejemplo: @ en un lenguaje que no lo soporta) y genera mensajes de error.</w:t>
      </w:r>
      <w:r w:rsidDel="00000000" w:rsidR="00000000" w:rsidRPr="00000000">
        <w:rPr>
          <w:rtl w:val="0"/>
        </w:rPr>
      </w:r>
    </w:p>
    <w:p w:rsidR="00000000" w:rsidDel="00000000" w:rsidP="00000000" w:rsidRDefault="00000000" w:rsidRPr="00000000" w14:paraId="00000034">
      <w:pPr>
        <w:pStyle w:val="Heading1"/>
        <w:keepNext w:val="0"/>
        <w:keepLines w:val="0"/>
        <w:spacing w:after="40" w:before="240" w:lineRule="auto"/>
        <w:rPr/>
      </w:pPr>
      <w:bookmarkStart w:colFirst="0" w:colLast="0" w:name="_fy43b35lr8kb" w:id="5"/>
      <w:bookmarkEnd w:id="5"/>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keepNext w:val="0"/>
        <w:keepLines w:val="0"/>
        <w:spacing w:after="40" w:before="240" w:lineRule="auto"/>
        <w:rPr/>
      </w:pPr>
      <w:bookmarkStart w:colFirst="0" w:colLast="0" w:name="_qk0jb5kdkqvv" w:id="6"/>
      <w:bookmarkEnd w:id="6"/>
      <w:r w:rsidDel="00000000" w:rsidR="00000000" w:rsidRPr="00000000">
        <w:rPr>
          <w:rtl w:val="0"/>
        </w:rPr>
        <w:t xml:space="preserve">Funciones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220" w:line="276" w:lineRule="auto"/>
        <w:ind w:left="720" w:right="0" w:hanging="360"/>
        <w:jc w:val="left"/>
      </w:pPr>
      <w:r w:rsidDel="00000000" w:rsidR="00000000" w:rsidRPr="00000000">
        <w:rPr>
          <w:b w:val="1"/>
          <w:bCs w:val="1"/>
          <w:rtl w:val="0"/>
        </w:rPr>
        <w:t xml:space="preserve">Segmentación: </w:t>
      </w:r>
      <w:r w:rsidDel="00000000" w:rsidR="00000000" w:rsidRPr="00000000">
        <w:rPr>
          <w:rtl w:val="0"/>
        </w:rPr>
        <w:t xml:space="preserve">Divide el código en tokens.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220" w:line="276" w:lineRule="auto"/>
        <w:ind w:left="720" w:right="0" w:hanging="360"/>
        <w:jc w:val="left"/>
      </w:pPr>
      <w:r w:rsidDel="00000000" w:rsidR="00000000" w:rsidRPr="00000000">
        <w:rPr>
          <w:b w:val="1"/>
          <w:bCs w:val="1"/>
          <w:rtl w:val="0"/>
        </w:rPr>
        <w:t xml:space="preserve">Clasificación:</w:t>
      </w:r>
      <w:r w:rsidDel="00000000" w:rsidR="00000000" w:rsidRPr="00000000">
        <w:rPr>
          <w:rtl w:val="0"/>
        </w:rPr>
        <w:t xml:space="preserve"> Asigna un tipo a cada token.</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220" w:line="276" w:lineRule="auto"/>
        <w:ind w:left="720" w:right="0" w:hanging="360"/>
        <w:jc w:val="left"/>
      </w:pPr>
      <w:r w:rsidDel="00000000" w:rsidR="00000000" w:rsidRPr="00000000">
        <w:rPr>
          <w:b w:val="1"/>
          <w:bCs w:val="1"/>
          <w:rtl w:val="0"/>
        </w:rPr>
        <w:t xml:space="preserve">Interacción con el analizador sintáctico:</w:t>
      </w:r>
      <w:r w:rsidDel="00000000" w:rsidR="00000000" w:rsidRPr="00000000">
        <w:rPr>
          <w:rtl w:val="0"/>
        </w:rPr>
        <w:t xml:space="preserve"> Envía tokens secuencialmente para construir el árbol sintáctico.</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220" w:line="276" w:lineRule="auto"/>
        <w:ind w:left="720" w:right="0" w:hanging="360"/>
        <w:jc w:val="left"/>
      </w:pPr>
      <w:r w:rsidDel="00000000" w:rsidR="00000000" w:rsidRPr="00000000">
        <w:rPr>
          <w:b w:val="1"/>
          <w:bCs w:val="1"/>
          <w:rtl w:val="0"/>
        </w:rPr>
        <w:t xml:space="preserve">Optimización: </w:t>
      </w:r>
      <w:r w:rsidDel="00000000" w:rsidR="00000000" w:rsidRPr="00000000">
        <w:rPr>
          <w:rtl w:val="0"/>
        </w:rPr>
        <w:t xml:space="preserve">Algunos lexers preprocesan ciertas operaciones (como concatenar cadenas).</w:t>
      </w:r>
      <w:r w:rsidDel="00000000" w:rsidR="00000000" w:rsidRPr="00000000">
        <w:rPr>
          <w:rtl w:val="0"/>
        </w:rPr>
      </w:r>
    </w:p>
    <w:sectPr>
      <w:headerReference r:id="rId8" w:type="default"/>
      <w:headerReference r:id="rId9" w:type="first"/>
      <w:footerReference r:id="rId10"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rPr/>
    </w:pPr>
    <w:r w:rsidDel="00000000" w:rsidR="00000000" w:rsidRPr="00000000">
      <w:rPr>
        <w:rtl w:val="0"/>
      </w:rPr>
      <w:t xml:space="preserve">Organización de Lenguajes y Compiladores 1</w:t>
    </w:r>
  </w:p>
  <w:p w:rsidR="00000000" w:rsidDel="00000000" w:rsidP="00000000" w:rsidRDefault="00000000" w:rsidRPr="00000000" w14:paraId="0000003B">
    <w:pPr>
      <w:rPr/>
    </w:pPr>
    <w:r w:rsidDel="00000000" w:rsidR="00000000" w:rsidRPr="00000000">
      <w:rPr>
        <w:rtl w:val="0"/>
      </w:rPr>
      <w:t xml:space="preserve">Laboratorio</w:t>
    </w:r>
  </w:p>
  <w:p w:rsidR="00000000" w:rsidDel="00000000" w:rsidP="00000000" w:rsidRDefault="00000000" w:rsidRPr="00000000" w14:paraId="0000003C">
    <w:pPr>
      <w:rPr/>
    </w:pPr>
    <w:r w:rsidDel="00000000" w:rsidR="00000000" w:rsidRPr="00000000">
      <w:rPr>
        <w:rtl w:val="0"/>
      </w:rPr>
      <w:t xml:space="preserve">S.2</w:t>
    </w:r>
  </w:p>
  <w:p w:rsidR="00000000" w:rsidDel="00000000" w:rsidP="00000000" w:rsidRDefault="00000000" w:rsidRPr="00000000" w14:paraId="0000003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