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7 de 14</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ind w:firstLine="720"/>
        <w:rPr>
          <w:sz w:val="30"/>
          <w:szCs w:val="30"/>
        </w:rPr>
      </w:pPr>
      <w:r w:rsidDel="00000000" w:rsidR="00000000" w:rsidRPr="00000000">
        <w:rPr>
          <w:sz w:val="30"/>
          <w:szCs w:val="30"/>
          <w:rtl w:val="0"/>
        </w:rPr>
        <w:t xml:space="preserve">Tecnologías de Segmentación y Optimización de Redes en Capa 2</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rPr>
          <w:sz w:val="30"/>
          <w:szCs w:val="30"/>
        </w:rPr>
      </w:pPr>
      <w:r w:rsidDel="00000000" w:rsidR="00000000" w:rsidRPr="00000000">
        <w:rPr>
          <w:sz w:val="30"/>
          <w:szCs w:val="30"/>
          <w:rtl w:val="0"/>
        </w:rPr>
        <w:tab/>
        <w:t xml:space="preserve">STP (Spanning Tree Protocol)</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numPr>
          <w:ilvl w:val="0"/>
          <w:numId w:val="1"/>
        </w:numPr>
        <w:spacing w:line="240" w:lineRule="auto"/>
        <w:ind w:left="1440" w:hanging="360"/>
        <w:rPr>
          <w:sz w:val="30"/>
          <w:szCs w:val="30"/>
          <w:u w:val="none"/>
        </w:rPr>
      </w:pPr>
      <w:r w:rsidDel="00000000" w:rsidR="00000000" w:rsidRPr="00000000">
        <w:rPr>
          <w:sz w:val="30"/>
          <w:szCs w:val="30"/>
          <w:rtl w:val="0"/>
        </w:rPr>
        <w:t xml:space="preserve">Comprender la definición y el funcionamiento del protocolo STP, incluyendo su papel en la prevención de bucles de red.</w:t>
      </w:r>
    </w:p>
    <w:p w:rsidR="00000000" w:rsidDel="00000000" w:rsidP="00000000" w:rsidRDefault="00000000" w:rsidRPr="00000000" w14:paraId="00000009">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0A">
      <w:pPr>
        <w:numPr>
          <w:ilvl w:val="0"/>
          <w:numId w:val="1"/>
        </w:numPr>
        <w:spacing w:line="240" w:lineRule="auto"/>
        <w:ind w:left="1440" w:hanging="360"/>
        <w:rPr>
          <w:sz w:val="30"/>
          <w:szCs w:val="30"/>
          <w:u w:val="none"/>
        </w:rPr>
      </w:pPr>
      <w:r w:rsidDel="00000000" w:rsidR="00000000" w:rsidRPr="00000000">
        <w:rPr>
          <w:sz w:val="30"/>
          <w:szCs w:val="30"/>
          <w:rtl w:val="0"/>
        </w:rPr>
        <w:t xml:space="preserve">Identificar las propiedades clave del protocolo STP y su relevancia para la estabilidad de las redes.</w:t>
      </w:r>
    </w:p>
    <w:p w:rsidR="00000000" w:rsidDel="00000000" w:rsidP="00000000" w:rsidRDefault="00000000" w:rsidRPr="00000000" w14:paraId="0000000B">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0C">
      <w:pPr>
        <w:numPr>
          <w:ilvl w:val="0"/>
          <w:numId w:val="1"/>
        </w:numPr>
        <w:spacing w:line="240" w:lineRule="auto"/>
        <w:ind w:left="1440" w:hanging="360"/>
        <w:rPr>
          <w:sz w:val="30"/>
          <w:szCs w:val="30"/>
          <w:u w:val="none"/>
        </w:rPr>
      </w:pPr>
      <w:r w:rsidDel="00000000" w:rsidR="00000000" w:rsidRPr="00000000">
        <w:rPr>
          <w:sz w:val="30"/>
          <w:szCs w:val="30"/>
          <w:rtl w:val="0"/>
        </w:rPr>
        <w:t xml:space="preserve">Configurar los diferentes modos de operación de STP en switches.</w:t>
      </w:r>
    </w:p>
    <w:p w:rsidR="00000000" w:rsidDel="00000000" w:rsidP="00000000" w:rsidRDefault="00000000" w:rsidRPr="00000000" w14:paraId="0000000D">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1440" w:hanging="360"/>
        <w:rPr>
          <w:sz w:val="30"/>
          <w:szCs w:val="30"/>
          <w:u w:val="none"/>
        </w:rPr>
      </w:pPr>
      <w:r w:rsidDel="00000000" w:rsidR="00000000" w:rsidRPr="00000000">
        <w:rPr>
          <w:sz w:val="30"/>
          <w:szCs w:val="30"/>
          <w:rtl w:val="0"/>
        </w:rPr>
        <w:t xml:space="preserve">Analizar los dominios de colisión y broadcast y su relación con el uso de STP.</w:t>
      </w:r>
    </w:p>
    <w:p w:rsidR="00000000" w:rsidDel="00000000" w:rsidP="00000000" w:rsidRDefault="00000000" w:rsidRPr="00000000" w14:paraId="0000000F">
      <w:pPr>
        <w:spacing w:line="240" w:lineRule="auto"/>
        <w:ind w:left="1440" w:firstLine="0"/>
        <w:rPr>
          <w:sz w:val="30"/>
          <w:szCs w:val="30"/>
        </w:rPr>
      </w:pPr>
      <w:r w:rsidDel="00000000" w:rsidR="00000000" w:rsidRPr="00000000">
        <w:rPr>
          <w:rtl w:val="0"/>
        </w:rPr>
      </w:r>
    </w:p>
    <w:p w:rsidR="00000000" w:rsidDel="00000000" w:rsidP="00000000" w:rsidRDefault="00000000" w:rsidRPr="00000000" w14:paraId="00000010">
      <w:pPr>
        <w:numPr>
          <w:ilvl w:val="0"/>
          <w:numId w:val="1"/>
        </w:numPr>
        <w:spacing w:line="240" w:lineRule="auto"/>
        <w:ind w:left="1440" w:hanging="360"/>
        <w:rPr>
          <w:sz w:val="30"/>
          <w:szCs w:val="30"/>
          <w:u w:val="none"/>
        </w:rPr>
      </w:pPr>
      <w:r w:rsidDel="00000000" w:rsidR="00000000" w:rsidRPr="00000000">
        <w:rPr>
          <w:sz w:val="30"/>
          <w:szCs w:val="30"/>
          <w:rtl w:val="0"/>
        </w:rPr>
        <w:t xml:space="preserve">Optimizar la configuración de STP en una red de switches para asegurar un enrutamiento eficiente y prevenir redundancias no deseadas.</w:t>
      </w:r>
    </w:p>
    <w:p w:rsidR="00000000" w:rsidDel="00000000" w:rsidP="00000000" w:rsidRDefault="00000000" w:rsidRPr="00000000" w14:paraId="00000011">
      <w:pPr>
        <w:ind w:left="1440" w:firstLine="0"/>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b w:val="1"/>
          <w:sz w:val="40"/>
          <w:szCs w:val="40"/>
          <w:rtl w:val="0"/>
        </w:rPr>
        <w:t xml:space="preserve">Referencia a Meta del Curso</w:t>
      </w:r>
      <w:r w:rsidDel="00000000" w:rsidR="00000000" w:rsidRPr="00000000">
        <w:rPr>
          <w:rtl w:val="0"/>
        </w:rPr>
      </w:r>
    </w:p>
    <w:p w:rsidR="00000000" w:rsidDel="00000000" w:rsidP="00000000" w:rsidRDefault="00000000" w:rsidRPr="00000000" w14:paraId="00000013">
      <w:pPr>
        <w:ind w:left="0" w:firstLine="720"/>
        <w:jc w:val="both"/>
        <w:rPr>
          <w:sz w:val="30"/>
          <w:szCs w:val="30"/>
        </w:rPr>
      </w:pPr>
      <w:r w:rsidDel="00000000" w:rsidR="00000000" w:rsidRPr="00000000">
        <w:rPr>
          <w:sz w:val="30"/>
          <w:szCs w:val="30"/>
          <w:rtl w:val="0"/>
        </w:rPr>
        <w:t xml:space="preserve">El tema de STP (Spanning Tree Protocol) se relaciona directamente con varias metas del curso, debido a su papel en la optimización y prevención de problemas en redes de switches de capa 2.</w:t>
      </w:r>
    </w:p>
    <w:p w:rsidR="00000000" w:rsidDel="00000000" w:rsidP="00000000" w:rsidRDefault="00000000" w:rsidRPr="00000000" w14:paraId="00000014">
      <w:pPr>
        <w:ind w:left="0" w:firstLine="720"/>
        <w:jc w:val="both"/>
        <w:rPr>
          <w:sz w:val="30"/>
          <w:szCs w:val="30"/>
        </w:rPr>
      </w:pPr>
      <w:r w:rsidDel="00000000" w:rsidR="00000000" w:rsidRPr="00000000">
        <w:rPr>
          <w:rtl w:val="0"/>
        </w:rPr>
      </w:r>
    </w:p>
    <w:p w:rsidR="00000000" w:rsidDel="00000000" w:rsidP="00000000" w:rsidRDefault="00000000" w:rsidRPr="00000000" w14:paraId="00000015">
      <w:pPr>
        <w:ind w:firstLine="720"/>
        <w:jc w:val="both"/>
        <w:rPr>
          <w:sz w:val="30"/>
          <w:szCs w:val="30"/>
        </w:rPr>
      </w:pPr>
      <w:r w:rsidDel="00000000" w:rsidR="00000000" w:rsidRPr="00000000">
        <w:rPr>
          <w:sz w:val="30"/>
          <w:szCs w:val="30"/>
          <w:rtl w:val="0"/>
        </w:rPr>
        <w:t xml:space="preserve">Implementar Topologías de Red, en el que STP es vital en la implementación de topologías de red con múltiples rutas redundantes, permitiendo que los estudiantes comprendan cómo manejar enlaces adicionales de manera efectiva sin causar bucles de red. Con el dominio del protocolo STP, los estudiantes podrán implementar topologías más resilientes, asegurando que la red pueda redirigir el tráfico de manera automática ante la caída de un enlace o un nodo. Este conocimiento será esencial cuando trabajen en redes reales, donde las redundancias son comunes como medida de seguridad.</w:t>
      </w:r>
    </w:p>
    <w:p w:rsidR="00000000" w:rsidDel="00000000" w:rsidP="00000000" w:rsidRDefault="00000000" w:rsidRPr="00000000" w14:paraId="00000016">
      <w:pPr>
        <w:ind w:firstLine="720"/>
        <w:jc w:val="both"/>
        <w:rPr>
          <w:sz w:val="30"/>
          <w:szCs w:val="30"/>
        </w:rPr>
      </w:pPr>
      <w:r w:rsidDel="00000000" w:rsidR="00000000" w:rsidRPr="00000000">
        <w:rPr>
          <w:rtl w:val="0"/>
        </w:rPr>
      </w:r>
    </w:p>
    <w:p w:rsidR="00000000" w:rsidDel="00000000" w:rsidP="00000000" w:rsidRDefault="00000000" w:rsidRPr="00000000" w14:paraId="00000017">
      <w:pPr>
        <w:ind w:firstLine="720"/>
        <w:jc w:val="both"/>
        <w:rPr>
          <w:sz w:val="30"/>
          <w:szCs w:val="30"/>
        </w:rPr>
      </w:pPr>
      <w:r w:rsidDel="00000000" w:rsidR="00000000" w:rsidRPr="00000000">
        <w:rPr>
          <w:sz w:val="30"/>
          <w:szCs w:val="30"/>
          <w:rtl w:val="0"/>
        </w:rPr>
        <w:t xml:space="preserve">Así mismo con la meta para comprender los Modelos de Referencia OSI y TCP/IP ya que STP opera en la Capa 2 del Modelo OSI (Capa de Enlace de Datos), que es fundamental para entender la conmutación de paquetes en una red de switches. Este conocimiento es esencial para el despliegue de redes eficientes y escalables.</w:t>
      </w:r>
    </w:p>
    <w:p w:rsidR="00000000" w:rsidDel="00000000" w:rsidP="00000000" w:rsidRDefault="00000000" w:rsidRPr="00000000" w14:paraId="00000018">
      <w:pPr>
        <w:ind w:firstLine="720"/>
        <w:jc w:val="both"/>
        <w:rPr>
          <w:sz w:val="30"/>
          <w:szCs w:val="30"/>
        </w:rPr>
      </w:pPr>
      <w:r w:rsidDel="00000000" w:rsidR="00000000" w:rsidRPr="00000000">
        <w:rPr>
          <w:rtl w:val="0"/>
        </w:rPr>
      </w:r>
    </w:p>
    <w:p w:rsidR="00000000" w:rsidDel="00000000" w:rsidP="00000000" w:rsidRDefault="00000000" w:rsidRPr="00000000" w14:paraId="00000019">
      <w:pPr>
        <w:rPr>
          <w:b w:val="1"/>
          <w:sz w:val="40"/>
          <w:szCs w:val="40"/>
        </w:rPr>
      </w:pPr>
      <w:r w:rsidDel="00000000" w:rsidR="00000000" w:rsidRPr="00000000">
        <w:rPr>
          <w:b w:val="1"/>
          <w:sz w:val="40"/>
          <w:szCs w:val="40"/>
          <w:rtl w:val="0"/>
        </w:rPr>
        <w:t xml:space="preserve">Cronograma</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tc>
          <w:tcPr>
            <w:vMerge w:val="restart"/>
            <w:tcBorders>
              <w:top w:color="ffffff" w:space="0" w:sz="5" w:val="single"/>
              <w:left w:color="ffffff"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rPr>
                <w:color w:val="ffffff"/>
                <w:sz w:val="24"/>
                <w:szCs w:val="24"/>
              </w:rPr>
            </w:pPr>
            <w:r w:rsidDel="00000000" w:rsidR="00000000" w:rsidRPr="00000000">
              <w:rPr>
                <w:color w:val="ffffff"/>
                <w:sz w:val="24"/>
                <w:szCs w:val="24"/>
                <w:rtl w:val="0"/>
              </w:rPr>
              <w:t xml:space="preserve">Numeral</w:t>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E">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tc>
          <w:tcPr>
            <w:gridSpan w:val="2"/>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tc>
          <w:tcPr>
            <w:gridSpan w:val="2"/>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tc>
          <w:tcPr>
            <w:vMerge w:val="restart"/>
            <w:tcBorders>
              <w:top w:color="ffffff" w:space="0" w:sz="5" w:val="single"/>
              <w:left w:color="cccccc" w:space="0" w:sz="5" w:val="single"/>
              <w:bottom w:color="ffffff" w:space="0" w:sz="5" w:val="single"/>
              <w:right w:color="000000"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tr>
      <w:tr>
        <w:trPr>
          <w:cantSplit w:val="0"/>
          <w:trHeight w:val="315" w:hRule="atLeast"/>
          <w:tblHeader w:val="0"/>
        </w:trPr>
        <w:tc>
          <w:tcPr>
            <w:vMerge w:val="continue"/>
            <w:tcBorders>
              <w:top w:color="ffffff" w:space="0" w:sz="5" w:val="single"/>
              <w:left w:color="ffffff"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9">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A">
            <w:pPr>
              <w:widowControl w:val="0"/>
              <w:spacing w:line="276" w:lineRule="auto"/>
              <w:jc w:val="center"/>
              <w:rPr>
                <w:color w:val="ffffff"/>
                <w:sz w:val="20"/>
                <w:szCs w:val="20"/>
              </w:rPr>
            </w:pPr>
            <w:r w:rsidDel="00000000" w:rsidR="00000000" w:rsidRPr="00000000">
              <w:rPr>
                <w:color w:val="ffffff"/>
                <w:sz w:val="20"/>
                <w:szCs w:val="20"/>
                <w:rtl w:val="0"/>
              </w:rPr>
              <w:t xml:space="preserve">10</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B">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C">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D">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E">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continue"/>
            <w:tcBorders>
              <w:top w:color="ffffff" w:space="0" w:sz="5" w:val="single"/>
              <w:left w:color="cccccc" w:space="0" w:sz="5" w:val="single"/>
              <w:bottom w:color="ffffff"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r>
      <w:tr>
        <w:trPr>
          <w:cantSplit w:val="0"/>
          <w:trHeight w:val="315" w:hRule="atLeast"/>
          <w:tblHeader w:val="0"/>
        </w:trPr>
        <w:tc>
          <w:tcPr>
            <w:vMerge w:val="continue"/>
            <w:tcBorders>
              <w:top w:color="ffffff" w:space="0" w:sz="5" w:val="single"/>
              <w:left w:color="ffffff"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ffffff" w:space="0" w:sz="5" w:val="single"/>
              <w:left w:color="cccccc" w:space="0" w:sz="5" w:val="single"/>
              <w:bottom w:color="ffffff"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Definición y funcionamiento del protocolo de STP</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jc w:val="right"/>
              <w:rPr>
                <w:sz w:val="20"/>
                <w:szCs w:val="20"/>
              </w:rPr>
            </w:pPr>
            <w:r w:rsidDel="00000000" w:rsidR="00000000" w:rsidRPr="00000000">
              <w:rPr>
                <w:sz w:val="20"/>
                <w:szCs w:val="20"/>
                <w:rtl w:val="0"/>
              </w:rPr>
              <w:t xml:space="preserve">35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Propiedades del Protocolo STP</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Modos de Configuración</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Dominios de Colisión y Broadcast</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Configuración y Optimizacion de STP en Switches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jc w:val="right"/>
              <w:rPr>
                <w:sz w:val="20"/>
                <w:szCs w:val="20"/>
              </w:rPr>
            </w:pPr>
            <w:r w:rsidDel="00000000" w:rsidR="00000000" w:rsidRPr="00000000">
              <w:rPr>
                <w:sz w:val="20"/>
                <w:szCs w:val="20"/>
                <w:rtl w:val="0"/>
              </w:rPr>
              <w:t xml:space="preserve">0</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jc w:val="right"/>
              <w:rPr>
                <w:sz w:val="20"/>
                <w:szCs w:val="20"/>
              </w:rPr>
            </w:pPr>
            <w:r w:rsidDel="00000000" w:rsidR="00000000" w:rsidRPr="00000000">
              <w:rPr>
                <w:b w:val="1"/>
                <w:sz w:val="24"/>
                <w:szCs w:val="24"/>
                <w:rtl w:val="0"/>
              </w:rPr>
              <w:t xml:space="preserve">95</w:t>
            </w:r>
            <w:r w:rsidDel="00000000" w:rsidR="00000000" w:rsidRPr="00000000">
              <w:rPr>
                <w:rtl w:val="0"/>
              </w:rPr>
            </w:r>
          </w:p>
        </w:tc>
      </w:tr>
    </w:tbl>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Melani Alejandra López de la Roca </w:t>
      </w:r>
    </w:p>
    <w:p w:rsidR="00000000" w:rsidDel="00000000" w:rsidP="00000000" w:rsidRDefault="00000000" w:rsidRPr="00000000" w14:paraId="00000083">
      <w:pPr>
        <w:rPr>
          <w:b w:val="1"/>
        </w:rPr>
      </w:pPr>
      <w:hyperlink r:id="rId7">
        <w:r w:rsidDel="00000000" w:rsidR="00000000" w:rsidRPr="00000000">
          <w:rPr>
            <w:b w:val="1"/>
            <w:color w:val="1155cc"/>
            <w:u w:val="single"/>
            <w:rtl w:val="0"/>
          </w:rPr>
          <w:t xml:space="preserve">2844605750101@ingenieria.usac.edu.gt</w:t>
        </w:r>
      </w:hyperlink>
      <w:r w:rsidDel="00000000" w:rsidR="00000000" w:rsidRPr="00000000">
        <w:rPr>
          <w:b w:val="1"/>
          <w:rtl w:val="0"/>
        </w:rPr>
        <w:t xml:space="preserve"> </w:t>
      </w:r>
    </w:p>
    <w:sectPr>
      <w:headerReference r:id="rId8" w:type="default"/>
      <w:footerReference r:id="rId9"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color w:val="0000ff"/>
      </w:rPr>
    </w:pPr>
    <w:r w:rsidDel="00000000" w:rsidR="00000000" w:rsidRPr="00000000">
      <w:rPr>
        <w:color w:val="0000ff"/>
        <w:rtl w:val="0"/>
      </w:rPr>
      <w:t xml:space="preserve">Redes de Computadoras 1</w:t>
      <w:br w:type="textWrapping"/>
      <w:t xml:space="preserve">Laboratorio</w:t>
    </w:r>
  </w:p>
  <w:p w:rsidR="00000000" w:rsidDel="00000000" w:rsidP="00000000" w:rsidRDefault="00000000" w:rsidRPr="00000000" w14:paraId="00000085">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844605750101@ingenieria.usac.edu.g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A3NMqVWv4Y0xk/26N0iK71mymA==">CgMxLjA4AHIhMTJXa2pSUkk5UXlTRXhZSUQ4RjdUWk5mUFAzaGpuT0ZO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