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/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rPr>
          <w:rtl w:val="0"/>
        </w:rPr>
      </w:r>
      <w:r/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0</wp:posOffset>
                </wp:positionV>
                <wp:extent cx="4838700" cy="506095"/>
                <wp:effectExtent l="0" t="0" r="0" b="0"/>
                <wp:wrapTopAndBottom/>
                <wp:docPr id="6" name="image6.png" descr="C:\Users\Johatan\AppData\Local\Temp\Rar$DIa0.944\top-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 descr="C:\Users\Johatan\AppData\Local\Temp\Rar$DIa0.944\top-image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838700" cy="506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0;o:allowoverlap:true;o:allowincell:true;mso-position-horizontal-relative:text;margin-left:30.45pt;mso-position-horizontal:absolute;mso-position-vertical-relative:text;margin-top:0.00pt;mso-position-vertical:absolute;width:381.00pt;height:39.85pt;mso-wrap-distance-left:9.00pt;mso-wrap-distance-top:0.00pt;mso-wrap-distance-right:9.00pt;mso-wrap-distance-bottom:0.00pt;z-index:1;">
                <w10:wrap type="topAndBottom"/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rFonts w:ascii="Proxima Nova" w:hAnsi="Proxima Nova" w:eastAsia="Proxima Nova" w:cs="Proxima Nova"/>
          <w:color w:val="039be5"/>
          <w:sz w:val="72"/>
          <w:szCs w:val="72"/>
        </w:rPr>
      </w:pPr>
      <w:r>
        <w:rPr>
          <w:rtl w:val="0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  <w:r>
        <w:rPr>
          <w:rFonts w:ascii="Proxima Nova" w:hAnsi="Proxima Nova" w:eastAsia="Proxima Nova" w:cs="Proxima Nova"/>
          <w:color w:val="039be5"/>
          <w:sz w:val="72"/>
          <w:szCs w:val="7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Área de Conocimiento 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039be5"/>
          <w:sz w:val="52"/>
          <w:szCs w:val="52"/>
        </w:rPr>
      </w:pPr>
      <w:r>
        <w:rPr>
          <w:rFonts w:ascii="Proxima Nova" w:hAnsi="Proxima Nova" w:eastAsia="Proxima Nova" w:cs="Proxima Nova"/>
          <w:color w:val="039be5"/>
          <w:sz w:val="52"/>
          <w:szCs w:val="52"/>
          <w:rtl w:val="0"/>
        </w:rPr>
        <w:t xml:space="preserve">Demostración</w:t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  <w:r>
        <w:rPr>
          <w:rFonts w:ascii="Proxima Nova" w:hAnsi="Proxima Nova" w:eastAsia="Proxima Nova" w:cs="Proxima Nova"/>
          <w:color w:val="039be5"/>
          <w:sz w:val="52"/>
          <w:szCs w:val="52"/>
        </w:rPr>
      </w:r>
    </w:p>
    <w:p>
      <w:pPr>
        <w:pBdr/>
        <w:spacing/>
        <w:ind/>
        <w:jc w:val="center"/>
        <w:rPr>
          <w:rFonts w:ascii="Proxima Nova" w:hAnsi="Proxima Nova" w:eastAsia="Proxima Nova" w:cs="Proxima Nova"/>
          <w:color w:val="aeaaaa"/>
          <w:sz w:val="52"/>
          <w:szCs w:val="52"/>
        </w:rPr>
      </w:pPr>
      <w:r>
        <w:rPr>
          <w:rFonts w:ascii="Proxima Nova" w:hAnsi="Proxima Nova" w:eastAsia="Proxima Nova" w:cs="Proxima Nova"/>
          <w:color w:val="aeaaaa"/>
          <w:sz w:val="52"/>
          <w:szCs w:val="52"/>
          <w:rtl w:val="0"/>
        </w:rPr>
        <w:t xml:space="preserve">Tema Principal</w:t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  <w:r>
        <w:rPr>
          <w:rFonts w:ascii="Proxima Nova" w:hAnsi="Proxima Nova" w:eastAsia="Proxima Nova" w:cs="Proxima Nova"/>
          <w:color w:val="aeaaaa"/>
          <w:sz w:val="52"/>
          <w:szCs w:val="52"/>
        </w:rPr>
      </w:r>
    </w:p>
    <w:p>
      <w:pPr>
        <w:pBdr/>
        <w:spacing/>
        <w:ind/>
        <w:jc w:val="center"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7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rPr>
          <w:b/>
          <w:sz w:val="24"/>
          <w:szCs w:val="24"/>
        </w:rPr>
      </w:pPr>
      <w:r>
        <w:rPr>
          <w:rtl w:val="0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710" cy="219710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19710" cy="219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.30pt;height:17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tl w:val="0"/>
        </w:rPr>
        <w:t xml:space="preserve"> </w:t>
      </w:r>
      <w:r>
        <w:rPr>
          <w:rFonts w:ascii="Arial" w:hAnsi="Arial" w:eastAsia="Arial" w:cs="Arial"/>
          <w:b/>
          <w:color w:val="0070c0"/>
          <w:sz w:val="40"/>
          <w:szCs w:val="40"/>
          <w:rtl w:val="0"/>
        </w:rPr>
        <w:t xml:space="preserve">Tiempo estimado:  36/min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76" w:lineRule="auto"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00" w:line="30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Universidad San Carlos de Guatemala.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Facultad de ingeniería.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0" w:line="276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Escuela de Ingeniería en Ciencias y Sistemas.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widowControl w:val="false"/>
        <w:pBdr/>
        <w:spacing w:line="240" w:lineRule="auto"/>
        <w:ind w:firstLine="708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1. Marco Formativo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 w:firstLine="720"/>
        <w:rPr>
          <w:rFonts w:ascii="Proxima Nova" w:hAnsi="Proxima Nova" w:eastAsia="Proxima Nova" w:cs="Proxima Nova"/>
          <w:color w:val="bf9000"/>
          <w:sz w:val="28"/>
          <w:szCs w:val="28"/>
        </w:rPr>
      </w:pPr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2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Nombre del valor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Style w:val="992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¿Cómo se aplica en tu laboratorio?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Style w:val="992"/>
              <w:pBdr/>
              <w:spacing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Seguridad digital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Promover prácticas responsables en el uso de tecnologías en la nube, garantizando la protección de datos</w:t>
            </w:r>
            <w:r/>
          </w:p>
        </w:tc>
      </w:tr>
    </w:tbl>
    <w:p>
      <w:pPr>
        <w:pStyle w:val="992"/>
        <w:pBdr/>
        <w:spacing w:before="0" w:line="240" w:lineRule="auto"/>
        <w:ind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0" w:name="_heading=h.2qb0c2xoxm9h"/>
      <w:r/>
      <w:bookmarkEnd w:id="0"/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Style w:val="992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1" w:name="_heading=h.rkumsa8kgnrx"/>
      <w:r/>
      <w:bookmarkEnd w:id="1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b7b7b7"/>
          <w:rtl w:val="0"/>
        </w:rPr>
        <w:t xml:space="preserve">Indique la competencia general del curso y la competencia específica trabajada en esta lectura</w:t>
      </w:r>
      <w:r>
        <w:rPr>
          <w:rFonts w:ascii="Times New Roman" w:hAnsi="Times New Roman" w:eastAsia="Times New Roman" w:cs="Times New Roman"/>
          <w:rtl w:val="0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4419"/>
        <w:gridCol w:w="4419"/>
      </w:tblGrid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Tipo de Competencia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200"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General 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Aplica principios básicos de ingeniería, ciencias de computación y sistemas</w:t>
              <w:br/>
              <w:t xml:space="preserve"> de información y comunicación, en la formulación y resolución adecuada de</w:t>
              <w:br/>
              <w:t xml:space="preserve"> problemas complejos.</w:t>
            </w:r>
            <w:r/>
          </w:p>
        </w:tc>
      </w:tr>
      <w:tr>
        <w:trPr/>
        <w:tc>
          <w:tcPr>
            <w:tcBorders/>
            <w:tcW w:w="441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u w:val="none"/>
              </w:rPr>
              <w:t xml:space="preserve">Competencia Específica</w:t>
            </w:r>
            <w:r/>
          </w:p>
        </w:tc>
        <w:tc>
          <w:tcPr>
            <w:tcBorders/>
            <w:tcW w:w="441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Relaciona las actividades de proyectos con las capas del stack IoT mediante esquemas, prácticas guiadas y documentación técnica en contextos de diseño modular y conectividad escalable </w:t>
            </w:r>
            <w:r/>
          </w:p>
        </w:tc>
      </w:tr>
    </w:tbl>
    <w:p>
      <w:pPr>
        <w:pBdr/>
        <w:spacing w:after="0" w:before="200" w:line="240" w:lineRule="auto"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92"/>
        <w:widowControl w:val="false"/>
        <w:pBdr/>
        <w:spacing w:before="0" w:line="240" w:lineRule="auto"/>
        <w:ind w:firstLine="720" w:left="0"/>
        <w:rPr>
          <w:rFonts w:ascii="Proxima Nova" w:hAnsi="Proxima Nova" w:eastAsia="Proxima Nova" w:cs="Proxima Nova"/>
          <w:color w:val="bf9000"/>
          <w:sz w:val="28"/>
          <w:szCs w:val="28"/>
        </w:rPr>
      </w:pPr>
      <w:r/>
      <w:bookmarkStart w:id="2" w:name="_heading=h.s7mw4byc8z5j"/>
      <w:r/>
      <w:bookmarkEnd w:id="2"/>
      <w:r>
        <w:rPr>
          <w:rFonts w:ascii="Proxima Nova" w:hAnsi="Proxima Nova" w:eastAsia="Proxima Nova" w:cs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  <w:r>
        <w:rPr>
          <w:rFonts w:ascii="Proxima Nova" w:hAnsi="Proxima Nova" w:eastAsia="Proxima Nova" w:cs="Proxima Nova"/>
          <w:color w:val="bf9000"/>
          <w:sz w:val="28"/>
          <w:szCs w:val="28"/>
        </w:rPr>
      </w:r>
    </w:p>
    <w:p>
      <w:pPr>
        <w:pBdr/>
        <w:spacing w:after="0" w:before="200" w:line="240" w:lineRule="auto"/>
        <w:ind/>
        <w:rPr>
          <w:rFonts w:ascii="Proxima Nova" w:hAnsi="Proxima Nova" w:eastAsia="Proxima Nova" w:cs="Proxima Nova"/>
          <w:color w:val="b7b7b7"/>
        </w:rPr>
      </w:pPr>
      <w:r>
        <w:rPr>
          <w:rFonts w:ascii="Proxima Nova" w:hAnsi="Proxima Nova" w:eastAsia="Proxima Nova" w:cs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  <w:r>
        <w:rPr>
          <w:rFonts w:ascii="Proxima Nova" w:hAnsi="Proxima Nova" w:eastAsia="Proxima Nova" w:cs="Proxima Nova"/>
          <w:color w:val="b7b7b7"/>
        </w:rPr>
      </w:r>
      <w:r>
        <w:rPr>
          <w:rFonts w:ascii="Proxima Nova" w:hAnsi="Proxima Nova" w:eastAsia="Proxima Nova" w:cs="Proxima Nova"/>
          <w:color w:val="b7b7b7"/>
        </w:rPr>
      </w:r>
    </w:p>
    <w:tbl>
      <w:tblPr>
        <w:tblStyle w:val="1020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12"/>
        <w:gridCol w:w="5392"/>
        <w:tblGridChange w:id="0">
          <w:tblGrid>
            <w:gridCol w:w="1656"/>
            <w:gridCol w:w="2341"/>
            <w:gridCol w:w="5362"/>
          </w:tblGrid>
        </w:tblGridChange>
      </w:tblGrid>
      <w:tr>
        <w:trPr>
          <w:cantSplit w:val="false"/>
          <w:trHeight w:val="5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  <w:b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SMART</w:t>
            </w:r>
            <w:r>
              <w:rPr>
                <w:rFonts w:ascii="Proxima Nova" w:hAnsi="Proxima Nova" w:eastAsia="Proxima Nova" w:cs="Proxima Nova"/>
                <w:b/>
              </w:rPr>
            </w:r>
            <w:r>
              <w:rPr>
                <w:rFonts w:ascii="Proxima Nova" w:hAnsi="Proxima Nova" w:eastAsia="Proxima Nova" w:cs="Proxima Nova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Definición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Proxima Nova" w:hAnsi="Proxima Nova" w:eastAsia="Proxima Nova" w:cs="Proxima Nova"/>
              </w:rPr>
            </w:pPr>
            <w:r>
              <w:rPr>
                <w:rFonts w:ascii="Proxima Nova" w:hAnsi="Proxima Nova" w:eastAsia="Proxima Nova" w:cs="Proxima Nova"/>
                <w:b/>
                <w:rtl w:val="0"/>
              </w:rPr>
              <w:t xml:space="preserve">Objetivo redactado</w:t>
            </w:r>
            <w:r>
              <w:rPr>
                <w:rFonts w:ascii="Proxima Nova" w:hAnsi="Proxima Nova" w:eastAsia="Proxima Nova" w:cs="Proxima Nova"/>
              </w:rPr>
            </w:r>
            <w:r>
              <w:rPr>
                <w:rFonts w:ascii="Proxima Nova" w:hAnsi="Proxima Nova" w:eastAsia="Proxima Nova" w:cs="Proxima Nova"/>
              </w:rPr>
            </w:r>
          </w:p>
        </w:tc>
      </w:tr>
      <w:tr>
        <w:trPr>
          <w:cantSplit w:val="false"/>
          <w:trHeight w:val="1370"/>
        </w:trPr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Específico (¿Qué?)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es concreto y tangible.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ff2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Los estudiantes serán capaces de identificar y comparar distintos proveedores de servicios en la nube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Medible (¿Cuánto?)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una medida objetiva de éxito.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0e0e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Completar una matriz comparativa de al menos tres proveedores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276"/>
        </w:trPr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Alcanzable (¿Cómo?)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f4cc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Mediante investigación guiada, documentación técnica de los proveedores y discusión grupal en clase.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Realista (¿Para qué?)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contribuye a metas más amplias.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d9ead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Para fortalecer la capacidad de análisis tecnológico de los estudiantes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  <w:tr>
        <w:trPr>
          <w:cantSplit w:val="false"/>
          <w:trHeight w:val="1085"/>
        </w:trPr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b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b/>
                <w:sz w:val="20"/>
                <w:szCs w:val="20"/>
                <w:rtl w:val="0"/>
              </w:rPr>
              <w:t xml:space="preserve">A Tiempo (¿Cuándo?)</w:t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b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</w:p>
        </w:tc>
        <w:tc>
          <w:tcPr>
            <w:shd w:val="clear" w:color="auto" w:fill="cfe2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pPr>
            <w:r>
              <w:rPr>
                <w:rFonts w:ascii="Proxima Nova" w:hAnsi="Proxima Nova" w:eastAsia="Proxima Nova" w:cs="Proxima Nova"/>
                <w:sz w:val="20"/>
                <w:szCs w:val="20"/>
                <w:rtl w:val="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C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ompletar la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  <w:t xml:space="preserve"> actividad práctica en una sesión de 36 minutos dentro del módulo</w:t>
            </w:r>
            <w:r>
              <w:rPr>
                <w:rFonts w:ascii="Proxima Nova" w:hAnsi="Proxima Nova" w:eastAsia="Proxima Nova" w:cs="Proxima Nova"/>
                <w:sz w:val="20"/>
                <w:szCs w:val="20"/>
              </w:rPr>
            </w:r>
            <w:r>
              <w:rPr>
                <w:rFonts w:ascii="Proxima Nova" w:hAnsi="Proxima Nova" w:eastAsia="Proxima Nova" w:cs="Proxima Nova"/>
                <w:sz w:val="20"/>
                <w:szCs w:val="20"/>
                <w14:ligatures w14:val="none"/>
              </w:rPr>
            </w:r>
          </w:p>
        </w:tc>
      </w:tr>
    </w:tbl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rtl w:val="0"/>
        </w:rPr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2. Herramientas o recursos utilizados en el ejemplo práctico: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widowControl w:val="false"/>
        <w:pBdr/>
        <w:spacing w:line="240" w:lineRule="auto"/>
        <w:ind w:firstLine="0" w:left="0"/>
        <w:rPr>
          <w:b/>
          <w:color w:val="b7b7b7"/>
          <w:sz w:val="26"/>
          <w:szCs w:val="26"/>
        </w:rPr>
      </w:pPr>
      <w:r>
        <w:rPr>
          <w:b/>
          <w:color w:val="b7b7b7"/>
          <w:sz w:val="26"/>
          <w:szCs w:val="26"/>
          <w:rtl w:val="0"/>
        </w:rPr>
      </w:r>
      <w:r>
        <w:t xml:space="preserve">Documentación oficial de AWS IoT Core, Azure IoT Hub y Google Cloud IoT Core.</w:t>
      </w:r>
      <w:r>
        <w:rPr>
          <w:b/>
          <w:color w:val="b7b7b7"/>
          <w:sz w:val="26"/>
          <w:szCs w:val="26"/>
        </w:rPr>
      </w:r>
      <w:r>
        <w:rPr>
          <w:b/>
          <w:color w:val="b7b7b7"/>
          <w:sz w:val="26"/>
          <w:szCs w:val="26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3. Material de apoyo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Style w:val="1013"/>
        <w:widowControl w:val="false"/>
        <w:numPr>
          <w:ilvl w:val="0"/>
          <w:numId w:val="4"/>
        </w:numPr>
        <w:pBdr/>
        <w:spacing w:line="240" w:lineRule="auto"/>
        <w:ind/>
        <w:rPr>
          <w:b/>
          <w:bCs/>
          <w:color w:val="b7b7b7"/>
          <w:sz w:val="26"/>
          <w:szCs w:val="26"/>
        </w:rPr>
      </w:pPr>
      <w:r/>
      <w:hyperlink r:id="rId17" w:tooltip="https://aws.amazon.com/es/iot-core/" w:history="1">
        <w:r>
          <w:rPr>
            <w:rStyle w:val="97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Protección de la puerta de enlace de IoT y el dispositivo de puerta de enlace de IoT - AWS IoT Core - AWS</w:t>
        </w:r>
      </w:hyperlink>
      <w:r>
        <w:rPr>
          <w:b/>
          <w:bCs/>
          <w:color w:val="b7b7b7"/>
          <w:sz w:val="26"/>
          <w:szCs w:val="26"/>
        </w:rPr>
      </w:r>
      <w:r>
        <w:rPr>
          <w:b/>
          <w:bCs/>
          <w:color w:val="b7b7b7"/>
          <w:sz w:val="26"/>
          <w:szCs w:val="26"/>
        </w:rPr>
      </w:r>
    </w:p>
    <w:p>
      <w:pPr>
        <w:pStyle w:val="1013"/>
        <w:widowControl w:val="false"/>
        <w:numPr>
          <w:ilvl w:val="0"/>
          <w:numId w:val="4"/>
        </w:numPr>
        <w:pBdr/>
        <w:spacing w:line="240" w:lineRule="auto"/>
        <w:ind/>
        <w:rPr>
          <w:b/>
          <w:bCs/>
          <w:color w:val="b7b7b7"/>
          <w:sz w:val="26"/>
          <w:szCs w:val="26"/>
        </w:rPr>
      </w:pPr>
      <w:r/>
      <w:hyperlink r:id="rId18" w:tooltip="https://azure.microsoft.com/en-us/products/iot-hub" w:history="1">
        <w:r>
          <w:rPr>
            <w:rStyle w:val="97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IoT Hub | Microsoft Azure</w:t>
        </w:r>
      </w:hyperlink>
      <w:r>
        <w:rPr>
          <w:b/>
          <w:bCs/>
          <w:color w:val="b7b7b7"/>
          <w:sz w:val="26"/>
          <w:szCs w:val="26"/>
        </w:rPr>
      </w:r>
      <w:r>
        <w:rPr>
          <w:b/>
          <w:bCs/>
          <w:color w:val="b7b7b7"/>
          <w:sz w:val="26"/>
          <w:szCs w:val="26"/>
        </w:rPr>
      </w:r>
    </w:p>
    <w:p>
      <w:pPr>
        <w:pStyle w:val="1013"/>
        <w:widowControl w:val="false"/>
        <w:numPr>
          <w:ilvl w:val="0"/>
          <w:numId w:val="4"/>
        </w:numPr>
        <w:pBdr/>
        <w:spacing w:line="240" w:lineRule="auto"/>
        <w:ind/>
        <w:rPr>
          <w:b/>
          <w:bCs/>
          <w:color w:val="b7b7b7"/>
          <w:sz w:val="26"/>
          <w:szCs w:val="26"/>
        </w:rPr>
      </w:pPr>
      <w:r/>
      <w:hyperlink r:id="rId19" w:tooltip="https://cloud.google.com/architecture/connected-devices/iot-platform-product-architecture?hl=es_419" w:history="1">
        <w:r>
          <w:rPr>
            <w:rStyle w:val="97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Arquitectura de productos de la plataforma de IoT en Google Cloud  |  Cloud Architecture Center</w:t>
        </w:r>
      </w:hyperlink>
      <w:r>
        <w:rPr>
          <w:b/>
          <w:bCs/>
          <w:color w:val="b7b7b7"/>
          <w:sz w:val="26"/>
          <w:szCs w:val="26"/>
        </w:rPr>
      </w:r>
      <w:r>
        <w:rPr>
          <w:b/>
          <w:bCs/>
          <w:color w:val="b7b7b7"/>
          <w:sz w:val="26"/>
          <w:szCs w:val="26"/>
        </w:rPr>
      </w:r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3. Enunciado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El objetivo de este ejercicio práctico es analizar y comparar diferentes proveedores de servicios en la nube, identificando cuál sería el más conveniente para implementar un proyecto IoT.</w:t>
        <w:br/>
        <w:t xml:space="preserve"> No se realizará una migración real, sino un análisis técnico y econ</w:t>
      </w:r>
      <w:r>
        <w:t xml:space="preserve">ómico considerando:</w:t>
      </w:r>
      <w:r/>
    </w:p>
    <w:p>
      <w:pPr>
        <w:pStyle w:val="10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Tipos de servicios ofrecidos (almacenamiento, mensajería, monitoreo, análisis).</w:t>
      </w:r>
      <w:r/>
    </w:p>
    <w:p>
      <w:pPr>
        <w:pStyle w:val="10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Nivel de seguridad y cumplimiento normativo.</w:t>
      </w:r>
      <w:r/>
    </w:p>
    <w:p>
      <w:pPr>
        <w:pStyle w:val="10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Facilidad de automatización y despliegue.</w:t>
      </w:r>
      <w:r/>
    </w:p>
    <w:p>
      <w:pPr>
        <w:pStyle w:val="10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Costos y escalabilidad para dispositivos IoT.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widowControl w:val="false"/>
        <w:pBdr/>
        <w:spacing w:line="240" w:lineRule="auto"/>
        <w:ind/>
        <w:rPr/>
      </w:pPr>
      <w:r>
        <w:rPr>
          <w:rtl w:val="0"/>
        </w:rPr>
      </w:r>
      <w:r/>
    </w:p>
    <w:p>
      <w:pPr>
        <w:widowControl w:val="false"/>
        <w:pBdr/>
        <w:spacing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4. Procedimiento 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Bdr/>
        <w:spacing w:after="280" w:before="280" w:line="240" w:lineRule="auto"/>
        <w:ind/>
        <w:rPr>
          <w:b/>
          <w:color w:val="b7b7b7"/>
          <w:sz w:val="26"/>
          <w:szCs w:val="26"/>
        </w:rPr>
      </w:pPr>
      <w:r>
        <w:rPr>
          <w:b/>
          <w:color w:val="b7b7b7"/>
          <w:sz w:val="26"/>
          <w:szCs w:val="26"/>
          <w:rtl w:val="0"/>
        </w:rPr>
        <w:t xml:space="preserve">2. Clase presencial</w:t>
      </w:r>
      <w:r>
        <w:rPr>
          <w:b/>
          <w:color w:val="b7b7b7"/>
          <w:sz w:val="26"/>
          <w:szCs w:val="26"/>
        </w:rPr>
      </w:r>
      <w:r>
        <w:rPr>
          <w:b/>
          <w:color w:val="b7b7b7"/>
          <w:sz w:val="26"/>
          <w:szCs w:val="26"/>
        </w:rPr>
      </w:r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color w:val="b7b7b7"/>
          <w:sz w:val="26"/>
          <w:szCs w:val="26"/>
          <w:rtl w:val="0"/>
        </w:rPr>
        <w:tab/>
      </w:r>
      <w:r>
        <w:t xml:space="preserve">Introducción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El tutor presenta los conceptos de migración a la nube, sus beneficios y retos en el contexto de IoT.</w:t>
        <w:br/>
        <w:t xml:space="preserve"> Se explican las fases de una migración típica: análisis, planificación, selección de proveedor, seguridad y automatización.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Selección de proveedore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Los estudiantes investigan en equipos tres proveedores principales: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AWS (Amazon Web Services)</w:t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Microsoft Azure</w:t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Google Cloud Platform (GCP)</w:t>
        <w:br/>
        <w:t xml:space="preserve"> Cada grupo documenta los servicios IoT más relevantes y sus ventajas.</w:t>
      </w:r>
      <w:r/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Seguridad en la migración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Se discuten medidas de seguridad como cifrado, autenticación, gestión de identidades y cumplimiento de normas ISO/IEC 27001, GDPR, etc.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Automatización en la migración: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El tutor explica herramientas como CloudFormation, Azure Resource Manager y Terraform, mostrando cómo permiten despliegues automatizados.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Servicios en la nube para IoT: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Se analiza cómo los servicios seleccionados pueden integrarse con sensores, gateways y dashboards (por ejemplo, AWS IoT Core + Grafana).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01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Cierre y reflexión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10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Cada grupo comenta cuál proveedor consideran más conveniente y por qué.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80" w:before="280" w:line="240" w:lineRule="auto"/>
        <w:ind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  <w:rtl w:val="0"/>
        </w:rPr>
        <w:t xml:space="preserve">5. Aconsejando al siguiente Tutor para la realización de ejemplos.</w:t>
      </w:r>
      <w:r>
        <w:rPr>
          <w:b/>
          <w:color w:val="0070c0"/>
          <w:sz w:val="36"/>
          <w:szCs w:val="36"/>
        </w:rPr>
      </w:r>
      <w:r>
        <w:rPr>
          <w:b/>
          <w:color w:val="0070c0"/>
          <w:sz w:val="36"/>
          <w:szCs w:val="36"/>
        </w:rPr>
      </w:r>
    </w:p>
    <w:p>
      <w:pPr>
        <w:pStyle w:val="10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Algunos estudiantes se confunden entre los conceptos de migración real y análisis de migración.</w:t>
      </w:r>
      <w:r/>
    </w:p>
    <w:p>
      <w:pPr>
        <w:pStyle w:val="10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Falta de familiaridad con las consolas cloud gratuitas (requiere guía inicial).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 w:after="280" w:before="280" w:line="240" w:lineRule="auto"/>
        <w:ind/>
        <w:rPr/>
      </w:pPr>
      <w:r>
        <w:rPr>
          <w:rFonts w:ascii="Proxima Nova" w:hAnsi="Proxima Nova" w:eastAsia="Proxima Nova" w:cs="Proxima Nova"/>
          <w:color w:val="666666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" cy="57150"/>
                <wp:effectExtent l="0" t="0" r="0" b="0"/>
                <wp:docPr id="9" name="image4.png" descr="línea cort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línea corta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47675" cy="57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.25pt;height:4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roxima Nova">
    <w:panose1 w:val="05040102010807070707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Noto Sans Symbols">
    <w:panose1 w:val="020B050204050402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200025</wp:posOffset>
              </wp:positionV>
              <wp:extent cx="7781925" cy="409575"/>
              <wp:effectExtent l="0" t="0" r="0" b="0"/>
              <wp:wrapTopAndBottom/>
              <wp:docPr id="3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85.05pt;mso-position-horizontal:absolute;mso-position-vertical-relative:text;margin-top:15.75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6311167</wp:posOffset>
              </wp:positionH>
              <wp:positionV relativeFrom="paragraph">
                <wp:posOffset>119380</wp:posOffset>
              </wp:positionV>
              <wp:extent cx="381000" cy="49530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81000" cy="495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0;o:allowoverlap:true;o:allowincell:true;mso-position-horizontal-relative:text;margin-left:496.94pt;mso-position-horizontal:absolute;mso-position-vertical-relative:text;margin-top:9.40pt;mso-position-vertical:absolute;width:30.00pt;height:39.00pt;mso-wrap-distance-left:9.00pt;mso-wrap-distance-top:0.00pt;mso-wrap-distance-right:9.00pt;mso-wrap-distance-bottom:0.00pt;z-index:1;">
              <v:imagedata r:id="rId2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190500</wp:posOffset>
              </wp:positionV>
              <wp:extent cx="7781925" cy="409575"/>
              <wp:effectExtent l="0" t="0" r="0" b="0"/>
              <wp:wrapTopAndBottom/>
              <wp:docPr id="5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0;o:allowoverlap:true;o:allowincell:true;mso-position-horizontal-relative:text;margin-left:-85.05pt;mso-position-horizontal:absolute;mso-position-vertical-relative:text;margin-top:15.00pt;mso-position-vertical:absolute;width:612.75pt;height:32.25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-449577</wp:posOffset>
              </wp:positionV>
              <wp:extent cx="7781925" cy="57150"/>
              <wp:effectExtent l="0" t="0" r="0" b="0"/>
              <wp:wrapTopAndBottom/>
              <wp:docPr id="1" name="image5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85.05pt;mso-position-horizontal:absolute;mso-position-vertical-relative:text;margin-top:-35.40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-419731</wp:posOffset>
              </wp:positionV>
              <wp:extent cx="7781925" cy="57150"/>
              <wp:effectExtent l="0" t="0" r="0" b="0"/>
              <wp:wrapTopAndBottom/>
              <wp:docPr id="2" name="image3.png" descr="pie de págin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pie de página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7781925" cy="571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5.05pt;mso-position-horizontal:absolute;mso-position-vertical-relative:text;margin-top:-33.05pt;mso-position-vertical:absolute;width:612.75pt;height:4.50pt;mso-wrap-distance-left:0.00pt;mso-wrap-distance-top:0.00pt;mso-wrap-distance-right:0.00pt;mso-wrap-distance-bottom:0.00pt;z-index:1;">
              <w10:wrap type="topAndBottom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5C6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FED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A8F0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2B3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695E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GT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>
    <w:name w:val="Table Grid Light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1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2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3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5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6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ing 7"/>
    <w:basedOn w:val="998"/>
    <w:next w:val="998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8"/>
    <w:next w:val="998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8"/>
    <w:next w:val="998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1 Char"/>
    <w:basedOn w:val="1000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1000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1000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1000"/>
    <w:link w:val="9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1000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1000"/>
    <w:link w:val="9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1000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1000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1000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Title Char"/>
    <w:basedOn w:val="1000"/>
    <w:link w:val="9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Subtitle Char"/>
    <w:basedOn w:val="1000"/>
    <w:link w:val="10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6">
    <w:name w:val="Quote"/>
    <w:basedOn w:val="998"/>
    <w:next w:val="998"/>
    <w:link w:val="9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7">
    <w:name w:val="Quote Char"/>
    <w:basedOn w:val="100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Intense Emphasis"/>
    <w:basedOn w:val="10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9">
    <w:name w:val="Intense Quote"/>
    <w:basedOn w:val="998"/>
    <w:next w:val="998"/>
    <w:link w:val="9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0">
    <w:name w:val="Intense Quote Char"/>
    <w:basedOn w:val="1000"/>
    <w:link w:val="9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1">
    <w:name w:val="Intense Reference"/>
    <w:basedOn w:val="10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2">
    <w:name w:val="No Spacing"/>
    <w:basedOn w:val="998"/>
    <w:uiPriority w:val="1"/>
    <w:qFormat/>
    <w:pPr>
      <w:pBdr/>
      <w:spacing w:after="0" w:line="240" w:lineRule="auto"/>
      <w:ind/>
    </w:pPr>
  </w:style>
  <w:style w:type="character" w:styleId="963">
    <w:name w:val="Subtle Emphasis"/>
    <w:basedOn w:val="10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Emphasis"/>
    <w:basedOn w:val="1000"/>
    <w:uiPriority w:val="20"/>
    <w:qFormat/>
    <w:pPr>
      <w:pBdr/>
      <w:spacing/>
      <w:ind/>
    </w:pPr>
    <w:rPr>
      <w:i/>
      <w:iCs/>
    </w:rPr>
  </w:style>
  <w:style w:type="character" w:styleId="965">
    <w:name w:val="Strong"/>
    <w:basedOn w:val="1000"/>
    <w:uiPriority w:val="22"/>
    <w:qFormat/>
    <w:pPr>
      <w:pBdr/>
      <w:spacing/>
      <w:ind/>
    </w:pPr>
    <w:rPr>
      <w:b/>
      <w:bCs/>
    </w:rPr>
  </w:style>
  <w:style w:type="character" w:styleId="966">
    <w:name w:val="Subtle Reference"/>
    <w:basedOn w:val="10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7">
    <w:name w:val="Book Title"/>
    <w:basedOn w:val="10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8">
    <w:name w:val="Header Char"/>
    <w:basedOn w:val="1000"/>
    <w:link w:val="1003"/>
    <w:uiPriority w:val="99"/>
    <w:pPr>
      <w:pBdr/>
      <w:spacing/>
      <w:ind/>
    </w:pPr>
  </w:style>
  <w:style w:type="character" w:styleId="969">
    <w:name w:val="Footer Char"/>
    <w:basedOn w:val="1000"/>
    <w:link w:val="1005"/>
    <w:uiPriority w:val="99"/>
    <w:pPr>
      <w:pBdr/>
      <w:spacing/>
      <w:ind/>
    </w:pPr>
  </w:style>
  <w:style w:type="paragraph" w:styleId="970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1">
    <w:name w:val="footnote text"/>
    <w:basedOn w:val="998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Footnote Text Char"/>
    <w:basedOn w:val="1000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footnote reference"/>
    <w:basedOn w:val="1000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endnote text"/>
    <w:basedOn w:val="998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Endnote Text Char"/>
    <w:basedOn w:val="1000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endnote reference"/>
    <w:basedOn w:val="1000"/>
    <w:uiPriority w:val="99"/>
    <w:semiHidden/>
    <w:unhideWhenUsed/>
    <w:pPr>
      <w:pBdr/>
      <w:spacing/>
      <w:ind/>
    </w:pPr>
    <w:rPr>
      <w:vertAlign w:val="superscript"/>
    </w:rPr>
  </w:style>
  <w:style w:type="character" w:styleId="977">
    <w:name w:val="Hyperlink"/>
    <w:basedOn w:val="10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8">
    <w:name w:val="FollowedHyperlink"/>
    <w:basedOn w:val="10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9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980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981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82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83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84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85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86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87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88">
    <w:name w:val="Placeholder Text"/>
    <w:basedOn w:val="1000"/>
    <w:uiPriority w:val="99"/>
    <w:semiHidden/>
    <w:pPr>
      <w:pBdr/>
      <w:spacing/>
      <w:ind/>
    </w:pPr>
    <w:rPr>
      <w:color w:val="666666"/>
    </w:rPr>
  </w:style>
  <w:style w:type="paragraph" w:styleId="989">
    <w:name w:val="TOC Heading"/>
    <w:uiPriority w:val="39"/>
    <w:unhideWhenUsed/>
    <w:pPr>
      <w:pBdr/>
      <w:spacing/>
      <w:ind/>
    </w:pPr>
  </w:style>
  <w:style w:type="paragraph" w:styleId="990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1">
    <w:name w:val="Heading 1"/>
    <w:basedOn w:val="998"/>
    <w:next w:val="998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92">
    <w:name w:val="Heading 2"/>
    <w:basedOn w:val="998"/>
    <w:next w:val="998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93">
    <w:name w:val="Heading 3"/>
    <w:basedOn w:val="998"/>
    <w:next w:val="998"/>
    <w:pPr>
      <w:pBdr/>
      <w:spacing w:line="240" w:lineRule="auto"/>
      <w:ind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994">
    <w:name w:val="Heading 4"/>
    <w:basedOn w:val="998"/>
    <w:next w:val="998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95">
    <w:name w:val="Heading 5"/>
    <w:basedOn w:val="998"/>
    <w:next w:val="998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96">
    <w:name w:val="Heading 6"/>
    <w:basedOn w:val="998"/>
    <w:next w:val="998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97">
    <w:name w:val="Title"/>
    <w:basedOn w:val="998"/>
    <w:next w:val="998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98" w:default="1">
    <w:name w:val="Normal"/>
    <w:pPr>
      <w:pBdr/>
      <w:spacing/>
      <w:ind/>
    </w:pPr>
  </w:style>
  <w:style w:type="table" w:styleId="999">
    <w:name w:val="Table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0" w:default="1">
    <w:name w:val="Default Paragraph Font"/>
    <w:uiPriority w:val="1"/>
    <w:semiHidden/>
    <w:unhideWhenUsed/>
    <w:pPr>
      <w:pBdr/>
      <w:spacing/>
      <w:ind/>
    </w:pPr>
  </w:style>
  <w:style w:type="table" w:styleId="10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2" w:default="1">
    <w:name w:val="No List"/>
    <w:uiPriority w:val="99"/>
    <w:semiHidden/>
    <w:unhideWhenUsed/>
    <w:pPr>
      <w:pBdr/>
      <w:spacing/>
      <w:ind/>
    </w:pPr>
  </w:style>
  <w:style w:type="paragraph" w:styleId="1003">
    <w:name w:val="Header"/>
    <w:basedOn w:val="998"/>
    <w:link w:val="100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04" w:customStyle="1">
    <w:name w:val="Encabezado Car"/>
    <w:basedOn w:val="1000"/>
    <w:link w:val="1003"/>
    <w:uiPriority w:val="99"/>
    <w:pPr>
      <w:pBdr/>
      <w:spacing/>
      <w:ind/>
    </w:pPr>
  </w:style>
  <w:style w:type="paragraph" w:styleId="1005">
    <w:name w:val="Footer"/>
    <w:basedOn w:val="998"/>
    <w:link w:val="1006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06" w:customStyle="1">
    <w:name w:val="Pie de página Car"/>
    <w:basedOn w:val="1000"/>
    <w:link w:val="1005"/>
    <w:uiPriority w:val="99"/>
    <w:pPr>
      <w:pBdr/>
      <w:spacing/>
      <w:ind/>
    </w:pPr>
  </w:style>
  <w:style w:type="table" w:styleId="1007">
    <w:name w:val="Table Grid"/>
    <w:basedOn w:val="10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Plain Table 1"/>
    <w:basedOn w:val="1001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00" w:sz="4" w:space="0"/>
        <w:left w:val="single" w:color="bfbfbf" w:themeColor="background1" w:themeShade="00" w:sz="4" w:space="0"/>
        <w:bottom w:val="single" w:color="bfbfbf" w:themeColor="background1" w:themeShade="00" w:sz="4" w:space="0"/>
        <w:right w:val="single" w:color="bfbfbf" w:themeColor="background1" w:themeShade="00" w:sz="4" w:space="0"/>
        <w:insideH w:val="single" w:color="bfbfbf" w:themeColor="background1" w:themeShade="00" w:sz="4" w:space="0"/>
        <w:insideV w:val="single" w:color="bfbfbf" w:themeColor="background1" w:themeShade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Plain Table 2"/>
    <w:basedOn w:val="1001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00" w:sz="4" w:space="0"/>
        <w:bottom w:val="single" w:color="7f7f7f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  <w:bottom w:val="single" w:color="7f7f7f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00" w:sz="4" w:space="0"/>
          <w:right w:val="single" w:color="7f7f7f" w:themeColor="text1" w:themeTint="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4 Accent 6"/>
    <w:basedOn w:val="1001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6 Colorful Accent 6"/>
    <w:basedOn w:val="1001"/>
    <w:uiPriority w:val="51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>
        <w:top w:val="single" w:color="a8d08d" w:themeColor="accent6" w:themeTint="00" w:sz="4" w:space="0"/>
        <w:left w:val="single" w:color="a8d08d" w:themeColor="accent6" w:themeTint="00" w:sz="4" w:space="0"/>
        <w:bottom w:val="single" w:color="a8d08d" w:themeColor="accent6" w:themeTint="00" w:sz="4" w:space="0"/>
        <w:right w:val="single" w:color="a8d08d" w:themeColor="accent6" w:themeTint="00" w:sz="4" w:space="0"/>
        <w:insideH w:val="single" w:color="a8d08d" w:themeColor="accent6" w:themeTint="00" w:sz="4" w:space="0"/>
        <w:insideV w:val="single" w:color="a8d08d" w:themeColor="accent6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a8d08d" w:themeColor="accent6" w:themeTint="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>
    <w:name w:val="Normal (Web)"/>
    <w:basedOn w:val="99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GT"/>
    </w:rPr>
  </w:style>
  <w:style w:type="paragraph" w:styleId="1013">
    <w:name w:val="List Paragraph"/>
    <w:basedOn w:val="998"/>
    <w:uiPriority w:val="34"/>
    <w:qFormat/>
    <w:pPr>
      <w:pBdr/>
      <w:spacing/>
      <w:ind w:left="720"/>
      <w:contextualSpacing w:val="true"/>
    </w:pPr>
  </w:style>
  <w:style w:type="character" w:styleId="1014" w:customStyle="1">
    <w:name w:val="Título 2 Car"/>
    <w:basedOn w:val="10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1015" w:customStyle="1">
    <w:name w:val="Título 3 Car"/>
    <w:basedOn w:val="100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table" w:styleId="1016">
    <w:name w:val="List Table 7 Colorful Accent 6"/>
    <w:basedOn w:val="1001"/>
    <w:uiPriority w:val="52"/>
    <w:pPr>
      <w:pBdr/>
      <w:spacing w:after="0" w:line="240" w:lineRule="auto"/>
      <w:ind/>
    </w:pPr>
    <w:rPr>
      <w:color w:val="538135" w:themeColor="accent6" w:themeShade="0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0ad47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0ad47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0ad47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7">
    <w:name w:val="Subtitle"/>
    <w:basedOn w:val="998"/>
    <w:next w:val="99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18">
    <w:name w:val="StGen1"/>
    <w:basedOn w:val="9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StGen2"/>
    <w:basedOn w:val="9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StGen3"/>
    <w:basedOn w:val="9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aws.amazon.com/es/iot-core/" TargetMode="External"/><Relationship Id="rId18" Type="http://schemas.openxmlformats.org/officeDocument/2006/relationships/hyperlink" Target="https://azure.microsoft.com/en-us/products/iot-hub" TargetMode="External"/><Relationship Id="rId19" Type="http://schemas.openxmlformats.org/officeDocument/2006/relationships/hyperlink" Target="https://cloud.google.com/architecture/connected-devices/iot-platform-product-architecture?hl=es_41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revision>2</cp:revision>
  <dcterms:created xsi:type="dcterms:W3CDTF">2025-08-23T15:00:00Z</dcterms:created>
  <dcterms:modified xsi:type="dcterms:W3CDTF">2025-10-29T01:39:17Z</dcterms:modified>
</cp:coreProperties>
</file>