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8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Proxima Nova" w:hAnsi="Proxima Nova" w:eastAsia="Proxima Nova" w:cs="Proxima Nova"/>
          <w:b/>
          <w:color w:val="404040"/>
          <w:sz w:val="96"/>
          <w:szCs w:val="96"/>
        </w:rPr>
      </w:pPr>
      <w:r/>
      <w:bookmarkStart w:id="0" w:name="_aczyuw2yex2w"/>
      <w:r/>
      <w:bookmarkEnd w:id="0"/>
      <w:r>
        <w:rPr>
          <w:b w:val="0"/>
          <w:color w:val="039be5"/>
          <w:sz w:val="72"/>
          <w:szCs w:val="72"/>
          <w:rtl w:val="0"/>
        </w:rPr>
        <w:t xml:space="preserve">Tema </w:t>
      </w:r>
      <w:r>
        <w:rPr>
          <w:rFonts w:ascii="Proxima Nova" w:hAnsi="Proxima Nova" w:eastAsia="Proxima Nova" w:cs="Proxima Nova"/>
          <w:b/>
          <w:color w:val="404040"/>
          <w:sz w:val="96"/>
          <w:szCs w:val="96"/>
        </w:rPr>
      </w:r>
      <w:r>
        <w:rPr>
          <w:rFonts w:ascii="Proxima Nova" w:hAnsi="Proxima Nova" w:eastAsia="Proxima Nova" w:cs="Proxima Nova"/>
          <w:b/>
          <w:color w:val="404040"/>
          <w:sz w:val="96"/>
          <w:szCs w:val="96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675" cy="57150"/>
                <wp:effectExtent l="0" t="0" r="0" b="0"/>
                <wp:docPr id="7" name="image3.png" descr="línea cort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línea corta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7675" cy="57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.25pt;height:4.5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  <w:t xml:space="preserve">Autor/Tutor</w:t>
        <w:br/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2300"/>
                <wp:effectExtent l="0" t="0" r="0" b="0"/>
                <wp:docPr id="8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622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9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Tiempo aproximado:        </w:t>
      </w:r>
      <w:r>
        <w:rPr>
          <w:sz w:val="28"/>
          <w:szCs w:val="28"/>
          <w:rtl w:val="0"/>
          <w:lang w:val="es-GT"/>
        </w:rPr>
        <w:t xml:space="preserve">5minutos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  <w:br/>
        <w:t xml:space="preserve">Universidad San Carlos de Guatemala </w:t>
      </w:r>
      <w:r/>
    </w:p>
    <w:p>
      <w:pPr>
        <w:pBdr/>
        <w:spacing/>
        <w:ind/>
        <w:rPr/>
      </w:pPr>
      <w:r>
        <w:rPr>
          <w:rtl w:val="0"/>
        </w:rPr>
        <w:t xml:space="preserve">Facultad de ingeniería.</w:t>
      </w:r>
      <w:r/>
    </w:p>
    <w:p>
      <w:pPr>
        <w:pBdr/>
        <w:spacing/>
        <w:ind/>
        <w:rPr>
          <w:rFonts w:ascii="Proxima Nova" w:hAnsi="Proxima Nova" w:eastAsia="Proxima Nova" w:cs="Proxima Nova"/>
          <w:color w:val="039be5"/>
          <w:sz w:val="36"/>
          <w:szCs w:val="36"/>
        </w:rPr>
      </w:pPr>
      <w:r>
        <w:rPr>
          <w:rtl w:val="0"/>
        </w:rPr>
        <w:t xml:space="preserve">Ingeniería en ciencias y sistemas</w:t>
      </w:r>
      <w:r>
        <w:br w:type="page" w:clear="all"/>
      </w:r>
      <w:r>
        <w:rPr>
          <w:rFonts w:ascii="Proxima Nova" w:hAnsi="Proxima Nova" w:eastAsia="Proxima Nova" w:cs="Proxima Nova"/>
          <w:color w:val="039be5"/>
          <w:sz w:val="36"/>
          <w:szCs w:val="36"/>
        </w:rPr>
      </w:r>
      <w:r>
        <w:rPr>
          <w:rFonts w:ascii="Proxima Nova" w:hAnsi="Proxima Nova" w:eastAsia="Proxima Nova" w:cs="Proxima Nova"/>
          <w:color w:val="039be5"/>
          <w:sz w:val="36"/>
          <w:szCs w:val="36"/>
        </w:rPr>
      </w:r>
    </w:p>
    <w:p>
      <w:pPr>
        <w:pStyle w:val="1032"/>
        <w:numPr>
          <w:ilvl w:val="0"/>
          <w:numId w:val="1"/>
        </w:numPr>
        <w:pBdr/>
        <w:spacing w:after="0" w:afterAutospacing="0"/>
        <w:ind w:hanging="360" w:left="720"/>
        <w:rPr>
          <w:u w:val="none"/>
        </w:rPr>
      </w:pPr>
      <w:r/>
      <w:bookmarkStart w:id="1" w:name="_k1d1swi451i0"/>
      <w:r/>
      <w:bookmarkEnd w:id="1"/>
      <w:r>
        <w:rPr>
          <w:rtl w:val="0"/>
        </w:rPr>
        <w:t xml:space="preserve">MARCO FORMATIVO </w:t>
      </w:r>
      <w:r>
        <w:rPr>
          <w:u w:val="none"/>
        </w:rPr>
      </w:r>
      <w:r>
        <w:rPr>
          <w:u w:val="none"/>
        </w:rPr>
      </w:r>
    </w:p>
    <w:p>
      <w:pPr>
        <w:pStyle w:val="1033"/>
        <w:numPr>
          <w:ilvl w:val="1"/>
          <w:numId w:val="1"/>
        </w:numPr>
        <w:pBdr/>
        <w:spacing w:before="0" w:beforeAutospacing="0"/>
        <w:ind w:hanging="360" w:left="1440"/>
        <w:rPr/>
      </w:pPr>
      <w:r/>
      <w:bookmarkStart w:id="2" w:name="_ph1lihtw76wz"/>
      <w:r/>
      <w:bookmarkEnd w:id="2"/>
      <w:r>
        <w:rPr>
          <w:rtl w:val="0"/>
        </w:rPr>
        <w:t xml:space="preserve">Valores</w:t>
      </w:r>
      <w:r/>
    </w:p>
    <w:tbl>
      <w:tblPr>
        <w:tblStyle w:val="104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039be5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Nombre del valor </w:t>
            </w:r>
            <w:r>
              <w:rPr>
                <w:color w:val="039be5"/>
                <w:sz w:val="36"/>
                <w:szCs w:val="36"/>
              </w:rPr>
            </w:r>
            <w:r>
              <w:rPr>
                <w:color w:val="039be5"/>
                <w:sz w:val="36"/>
                <w:szCs w:val="3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039be5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¿Cómo se aplica en tu laboratorio?</w:t>
            </w:r>
            <w:r>
              <w:rPr>
                <w:color w:val="039be5"/>
                <w:sz w:val="36"/>
                <w:szCs w:val="36"/>
              </w:rPr>
            </w:r>
            <w:r>
              <w:rPr>
                <w:color w:val="039be5"/>
                <w:sz w:val="36"/>
                <w:szCs w:val="36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before="0" w:line="240" w:lineRule="auto"/>
              <w:ind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Seguridad digital</w:t>
            </w:r>
            <w:r>
              <w:rPr>
                <w:color w:val="039be5"/>
                <w:sz w:val="36"/>
                <w:szCs w:val="36"/>
              </w:rPr>
            </w:r>
            <w:r>
              <w:rPr>
                <w:color w:val="039be5"/>
                <w:sz w:val="36"/>
                <w:szCs w:val="3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before="0" w:line="240" w:lineRule="auto"/>
              <w:ind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promover prácticas responsables en el uso de tecnologías en la nube, garantizando la protección de datos</w:t>
            </w:r>
            <w:r>
              <w:rPr>
                <w:color w:val="039be5"/>
                <w:sz w:val="36"/>
                <w:szCs w:val="36"/>
              </w:rPr>
            </w:r>
            <w:r>
              <w:rPr>
                <w:color w:val="039be5"/>
                <w:sz w:val="36"/>
                <w:szCs w:val="36"/>
              </w:rPr>
            </w:r>
          </w:p>
        </w:tc>
      </w:tr>
    </w:tbl>
    <w:p>
      <w:pPr>
        <w:pStyle w:val="1033"/>
        <w:pBdr/>
        <w:spacing/>
        <w:ind w:firstLine="0" w:left="0"/>
        <w:rPr/>
      </w:pPr>
      <w:r/>
      <w:bookmarkStart w:id="3" w:name="_2qb0c2xoxm9h"/>
      <w:r/>
      <w:bookmarkEnd w:id="3"/>
      <w:r>
        <w:rPr>
          <w:rtl w:val="0"/>
        </w:rPr>
      </w:r>
      <w:r/>
    </w:p>
    <w:p>
      <w:pPr>
        <w:pStyle w:val="1033"/>
        <w:numPr>
          <w:ilvl w:val="1"/>
          <w:numId w:val="1"/>
        </w:numPr>
        <w:pBdr/>
        <w:spacing/>
        <w:ind w:hanging="360" w:left="1440"/>
        <w:rPr/>
      </w:pPr>
      <w:r/>
      <w:bookmarkStart w:id="4" w:name="_rkumsa8kgnrx"/>
      <w:r/>
      <w:bookmarkEnd w:id="4"/>
      <w:r>
        <w:rPr>
          <w:rtl w:val="0"/>
        </w:rPr>
        <w:t xml:space="preserve">Competencia(s)</w:t>
      </w:r>
      <w:r/>
    </w:p>
    <w:tbl>
      <w:tblPr>
        <w:tblStyle w:val="1041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  <w:tblGridChange w:id="1">
          <w:tblGrid>
            <w:gridCol w:w="2715"/>
            <w:gridCol w:w="664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before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Tipo de Competencia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>
              <w:top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before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before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Competencia General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Aplica principios básicos de ingeniería, ciencias de computación y sistemas</w:t>
              <w:br/>
              <w:t xml:space="preserve"> de información y comunicación, en la formulación y resolución adecuada de</w:t>
              <w:br/>
              <w:t xml:space="preserve"> problemas complejos.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before="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Competencia Específica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Relaciona las actividades de proyectos con las capas del stack IoT mediante esquemas, prácticas guiadas y documentación técnica en contextos de diseño modular y conectividad escalable </w:t>
            </w:r>
            <w:r/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1032"/>
        <w:numPr>
          <w:ilvl w:val="0"/>
          <w:numId w:val="1"/>
        </w:numPr>
        <w:pBdr/>
        <w:spacing/>
        <w:ind w:hanging="360" w:left="720"/>
        <w:rPr>
          <w:u w:val="none"/>
        </w:rPr>
      </w:pPr>
      <w:r/>
      <w:bookmarkStart w:id="5" w:name="_33ath0p4jju6"/>
      <w:r/>
      <w:bookmarkEnd w:id="5"/>
      <w:r>
        <w:rPr>
          <w:rtl w:val="0"/>
        </w:rPr>
        <w:t xml:space="preserve">ABSTRACT </w:t>
      </w:r>
      <w:r>
        <w:rPr>
          <w:u w:val="none"/>
        </w:rPr>
      </w:r>
      <w:r>
        <w:rPr>
          <w:u w:val="none"/>
        </w:rPr>
      </w:r>
    </w:p>
    <w:p>
      <w:pPr>
        <w:widowControl w:val="false"/>
        <w:pBdr/>
        <w:spacing w:before="0" w:line="240" w:lineRule="auto"/>
        <w:ind w:firstLine="0" w:left="0"/>
        <w:rPr/>
      </w:pPr>
      <w:r>
        <w:rPr>
          <w:rFonts w:ascii="Times New Roman" w:hAnsi="Times New Roman" w:eastAsia="Times New Roman" w:cs="Times New Roman"/>
          <w:color w:val="b7b7b7"/>
          <w:rtl w:val="0"/>
        </w:rPr>
      </w:r>
      <w:r>
        <w:t xml:space="preserve">La migración a la nube es el proceso de trasladar aplicaciones, datos y servicios desde infraestructuras locales hacia plataformas de computación en la nube. Este cambio ofrece ventajas como escalabilidad, ahorro en costos y mayor disponibilidad.</w:t>
        <w:br/>
        <w:t xml:space="preserve"> Los serv</w:t>
      </w:r>
      <w:r>
        <w:t xml:space="preserve">icios en la nube para IoT (Internet of Things) potencian la conectividad y análisis de millones de dispositivos, permitiendo una gestión centralizada, segura y eficiente. Proveedores como AWS IoT y Azure IoT ofrecen soluciones que integran inteligencia art</w:t>
      </w:r>
      <w:r>
        <w:t xml:space="preserve">ificial, almacenamiento en tiempo real y monitoreo remoto.</w:t>
        <w:br/>
        <w:t xml:space="preserve"> La seguridad y la automatización son pilares esenciales: la primera garantiza la protección de los datos, y la segunda facilita despliegues confiables mediante herramientas como Terraform o Ansibl</w:t>
      </w:r>
      <w:r>
        <w:t xml:space="preserve">e.</w:t>
      </w:r>
      <w:r>
        <w:rPr>
          <w:rFonts w:ascii="Times New Roman" w:hAnsi="Times New Roman" w:eastAsia="Times New Roman" w:cs="Times New Roman"/>
          <w:color w:val="b7b7b7"/>
          <w:rtl w:val="0"/>
        </w:rPr>
      </w:r>
      <w:r/>
    </w:p>
    <w:p>
      <w:pPr>
        <w:pStyle w:val="1032"/>
        <w:numPr>
          <w:ilvl w:val="0"/>
          <w:numId w:val="1"/>
        </w:numPr>
        <w:pBdr/>
        <w:spacing/>
        <w:ind w:hanging="360" w:left="720"/>
        <w:rPr>
          <w:u w:val="none"/>
        </w:rPr>
      </w:pPr>
      <w:r/>
      <w:bookmarkStart w:id="6" w:name="_z4elditt87no"/>
      <w:r/>
      <w:bookmarkEnd w:id="6"/>
      <w:r>
        <w:rPr>
          <w:rtl w:val="0"/>
        </w:rPr>
        <w:t xml:space="preserve">REFERENCIAS</w:t>
      </w:r>
      <w:r>
        <w:rPr>
          <w:u w:val="none"/>
        </w:rPr>
      </w:r>
      <w:r>
        <w:rPr>
          <w:u w:val="none"/>
        </w:rPr>
      </w:r>
    </w:p>
    <w:p>
      <w:pPr>
        <w:pStyle w:val="9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Microsoft Azure.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What is Cloud Migration?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5" w:tooltip="https://azure.microsoft.com/es-es/resources/cloud-computing-dictionary/what-is-cloud-migration/" w:history="1">
        <w:r>
          <w:rPr>
            <w:rStyle w:val="101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https://azure.microsoft.com/es-es/resources/cloud-computing-dictionary/what-is-cloud-migration/</w:t>
        </w:r>
      </w:hyperlink>
      <w:r/>
      <w:r/>
    </w:p>
    <w:p>
      <w:pPr>
        <w:pStyle w:val="9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TIC.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Migración a la nube: súbase a la tendencia del momento.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6" w:tooltip="https://impactotic.co/tecnologia/cloud/migracion-a-la-nube-subase-a-la-tendencia-del-momento/" w:history="1">
        <w:r>
          <w:rPr>
            <w:rStyle w:val="101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https://impactotic.co/tecnologia/cloud/migracion-a-la-nube-subase-a-la-tendencia-del-momento/</w:t>
        </w:r>
      </w:hyperlink>
      <w:r/>
      <w:r/>
    </w:p>
    <w:p>
      <w:pPr>
        <w:pStyle w:val="9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ND Marketing Digital.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Cómo se conecta IoT a la nube.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7" w:tooltip="https://ndmarketingdigital.com/como-se-conecta-iot-a-la-nube/" w:history="1">
        <w:r>
          <w:rPr>
            <w:rStyle w:val="101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https://ndmarketingdigital.com/como-se-conecta-iot-a-la-nube/</w:t>
        </w:r>
      </w:hyperlink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032"/>
        <w:numPr>
          <w:ilvl w:val="0"/>
          <w:numId w:val="1"/>
        </w:numPr>
        <w:pBdr/>
        <w:spacing/>
        <w:ind w:hanging="360" w:left="720"/>
        <w:rPr>
          <w:u w:val="none"/>
        </w:rPr>
      </w:pPr>
      <w:r/>
      <w:bookmarkStart w:id="7" w:name="_noueqo9zxgwq"/>
      <w:r/>
      <w:bookmarkEnd w:id="7"/>
      <w:r>
        <w:rPr>
          <w:rtl w:val="0"/>
        </w:rPr>
        <w:t xml:space="preserve">CONTENIDO (TEMAS  / SUBTEMAS)</w:t>
      </w:r>
      <w:r>
        <w:rPr>
          <w:u w:val="none"/>
        </w:rPr>
      </w:r>
      <w:r>
        <w:rPr>
          <w:u w:val="none"/>
        </w:rPr>
      </w:r>
    </w:p>
    <w:p>
      <w:pPr>
        <w:pBdr/>
        <w:spacing/>
        <w:ind/>
        <w:rPr/>
      </w:pP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814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358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581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82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  <w:r/>
    </w:p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Conceptos Clave de la Nube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computación en la nube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acceder a recursos tecnológicos (servidores, bases de datos, almacenamiento) mediante Internet.</w:t>
        <w:br/>
        <w:t xml:space="preserve"> Existen tres tipos de nube:</w:t>
      </w:r>
      <w:r/>
    </w:p>
    <w:p>
      <w:pPr>
        <w:pStyle w:val="99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recursos compartidos (AWS, Azure, GCP).</w:t>
      </w:r>
      <w:r/>
    </w:p>
    <w:p>
      <w:pPr>
        <w:pStyle w:val="99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infraestructura exclusiva de una organización.</w:t>
      </w:r>
      <w:r/>
    </w:p>
    <w:p>
      <w:pPr>
        <w:pStyle w:val="99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Híbrida: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combinación de ambas.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modelos de servicio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más comunes son:</w:t>
      </w:r>
      <w:r/>
    </w:p>
    <w:p>
      <w:pPr>
        <w:pStyle w:val="99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IaaS: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Infraestructura como servicio.</w:t>
      </w:r>
      <w:r/>
    </w:p>
    <w:p>
      <w:pPr>
        <w:pStyle w:val="99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Plataforma como servicio.</w:t>
      </w:r>
      <w:r/>
    </w:p>
    <w:p>
      <w:pPr>
        <w:pStyle w:val="99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Software como servicio.</w:t>
      </w:r>
      <w:r/>
    </w:p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Estrategias de Migración (6 R’s)</w:t>
      </w:r>
      <w:r/>
    </w:p>
    <w:p>
      <w:pPr>
        <w:pStyle w:val="9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Rehost: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mover sin modificar.</w:t>
      </w:r>
      <w:r/>
    </w:p>
    <w:p>
      <w:pPr>
        <w:pStyle w:val="9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Replatform: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realizar ajustes mínimos.</w:t>
      </w:r>
      <w:r/>
    </w:p>
    <w:p>
      <w:pPr>
        <w:pStyle w:val="9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Repurchase: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reemplazar por un SaaS.</w:t>
      </w:r>
      <w:r/>
    </w:p>
    <w:p>
      <w:pPr>
        <w:pStyle w:val="9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rediseñar completamente.</w:t>
      </w:r>
      <w:r/>
    </w:p>
    <w:p>
      <w:pPr>
        <w:pStyle w:val="9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Retire: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eliminar sistemas obsoletos.</w:t>
      </w:r>
      <w:r/>
    </w:p>
    <w:p>
      <w:pPr>
        <w:pStyle w:val="9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Retain: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mantener en local temporalmente.</w:t>
      </w:r>
      <w:r/>
    </w:p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Selección de Proveedores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Factores a considerar:</w:t>
      </w:r>
      <w:r/>
    </w:p>
    <w:p>
      <w:pPr>
        <w:pStyle w:val="9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Costo y modelo de facturación.</w:t>
      </w:r>
      <w:r/>
    </w:p>
    <w:p>
      <w:pPr>
        <w:pStyle w:val="9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Soporte técnico y regiones disponibles.</w:t>
      </w:r>
      <w:r/>
    </w:p>
    <w:p>
      <w:pPr>
        <w:pStyle w:val="9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Integraciones y certificaciones de seguridad.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Principales proveedores: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AWS, Azure, Google Cloud, IBM Cloud, Oracle Cloud.</w:t>
      </w:r>
      <w:r/>
    </w:p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Seguridad en la Migración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seguridad es compartida:</w:t>
      </w:r>
      <w:r/>
    </w:p>
    <w:p>
      <w:pPr>
        <w:pStyle w:val="9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proveedor protege la infraestructura.</w:t>
      </w:r>
      <w:r/>
    </w:p>
    <w:p>
      <w:pPr>
        <w:pStyle w:val="9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protege sus datos y accesos.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Buenas prácticas:</w:t>
      </w:r>
      <w:r/>
    </w:p>
    <w:p>
      <w:pPr>
        <w:pStyle w:val="9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Cifrado en tránsito y en reposo.</w:t>
      </w:r>
      <w:r/>
    </w:p>
    <w:p>
      <w:pPr>
        <w:pStyle w:val="9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Gestión de identidades (IAM, roles).</w:t>
      </w:r>
      <w:r/>
    </w:p>
    <w:p>
      <w:pPr>
        <w:pStyle w:val="9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Auditorías y copias de seguridad automáticas.</w:t>
      </w:r>
      <w:r/>
    </w:p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Automatización de la Migración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Automatizar evita errores y acelera procesos.</w:t>
        <w:br/>
        <w:t xml:space="preserve"> Herramientas comunes:</w:t>
      </w:r>
      <w:r/>
    </w:p>
    <w:p>
      <w:pPr>
        <w:pStyle w:val="99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Terraform: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infraestructura como código.</w:t>
      </w:r>
      <w:r/>
    </w:p>
    <w:p>
      <w:pPr>
        <w:pStyle w:val="99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Ansible: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configuración automatizada.</w:t>
      </w:r>
      <w:r/>
    </w:p>
    <w:p>
      <w:pPr>
        <w:pStyle w:val="99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AWS Migration Hub / Azure Migrate.</w:t>
      </w:r>
      <w:r/>
    </w:p>
    <w:p>
      <w:pPr>
        <w:pStyle w:val="10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Servicios en la Nube para IoT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servicios IoT en la nube permiten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conectar, administrar y analizar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grandes volúmenes de datos generados por sensores o dispositivos inteligentes.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Funciones principales:</w:t>
      </w:r>
      <w:r/>
    </w:p>
    <w:p>
      <w:pPr>
        <w:pStyle w:val="9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Conectividad segura: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usando protocolos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MQTT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CoAP.</w:t>
      </w:r>
      <w:r/>
    </w:p>
    <w:p>
      <w:pPr>
        <w:pStyle w:val="9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Almacenamiento y procesamiento: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recopilan y preparan datos para su análisis.</w:t>
      </w:r>
      <w:r/>
    </w:p>
    <w:p>
      <w:pPr>
        <w:pStyle w:val="9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Analítica e 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uso de machine learning para detectar patrones o fallos.</w:t>
      </w:r>
      <w:r/>
    </w:p>
    <w:p>
      <w:pPr>
        <w:pStyle w:val="9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protección extremo a extremo entre dispositivos y la nube.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Plataformas destacadas:</w:t>
      </w:r>
      <w:r/>
    </w:p>
    <w:p>
      <w:pPr>
        <w:pStyle w:val="9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AWS IoT Core, Greengrass, Device Defender, IoT Analytics.</w:t>
      </w:r>
      <w:r/>
    </w:p>
    <w:p>
      <w:pPr>
        <w:pStyle w:val="9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Azure IoT Hub y Azure Digital Twins.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soluciones son esenciales para proyectos de ciudades inteligentes, monitoreo ambiental y automatización industrial.</w:t>
      </w:r>
      <w:r/>
    </w:p>
    <w:p>
      <w:pPr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jc w:val="center"/>
        <w:rPr>
          <w:color w:val="666666"/>
        </w:rPr>
      </w:pPr>
      <w:r>
        <w:rPr>
          <w:color w:val="666666"/>
        </w:rPr>
      </w:r>
      <w:r>
        <w:rPr>
          <w:color w:val="666666"/>
        </w:rPr>
      </w:r>
      <w:r>
        <w:rPr>
          <w:color w:val="666666"/>
        </w:rPr>
      </w:r>
    </w:p>
    <w:p>
      <w:pPr>
        <w:pStyle w:val="1033"/>
        <w:pBdr/>
        <w:spacing/>
        <w:ind/>
        <w:rPr>
          <w:color w:val="039be5"/>
        </w:rPr>
      </w:pPr>
      <w:r/>
      <w:bookmarkStart w:id="8" w:name="_q53v927gz3h1"/>
      <w:r/>
      <w:bookmarkEnd w:id="8"/>
      <w:r>
        <w:rPr>
          <w:color w:val="039be5"/>
          <w:sz w:val="36"/>
          <w:szCs w:val="36"/>
          <w:rtl w:val="0"/>
        </w:rPr>
        <w:t xml:space="preserve">5. Palabras clave / Glosario</w:t>
      </w:r>
      <w:r>
        <w:rPr>
          <w:color w:val="0b5394"/>
          <w:sz w:val="36"/>
          <w:szCs w:val="36"/>
          <w:rtl w:val="0"/>
        </w:rPr>
        <w:t xml:space="preserve"> </w:t>
      </w:r>
      <w:r>
        <w:rPr>
          <w:color w:val="039be5"/>
          <w:rtl w:val="0"/>
        </w:rPr>
        <w:br/>
      </w:r>
      <w:r>
        <w:rPr>
          <w:color w:val="039be5"/>
          <w:sz w:val="36"/>
          <w:szCs w:val="36"/>
        </w:rPr>
      </w:r>
      <w:r>
        <w:rPr>
          <w:color w:val="039be5"/>
        </w:rPr>
      </w:r>
    </w:p>
    <w:tbl>
      <w:tblPr>
        <w:tblStyle w:val="85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95"/>
        <w:gridCol w:w="594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Concepto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Definición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Cloud Computing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Uso de recursos de cómputo a través de Internet.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Migración a la nube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Traslado de sistemas locales a entornos en la nube.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MQTT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Protocolo ligero para comunicación IoT.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Terraform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Herramienta de infraestructura como código.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IoT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9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 de dispositivos conectados que recopilan y comparten datos.</w:t>
            </w:r>
            <w:r/>
          </w:p>
        </w:tc>
      </w:tr>
    </w:tbl>
    <w:p>
      <w:pPr>
        <w:pStyle w:val="1033"/>
        <w:pBdr/>
        <w:spacing/>
        <w:ind/>
        <w:rPr>
          <w:color w:val="039be5"/>
          <w:sz w:val="36"/>
          <w:szCs w:val="36"/>
        </w:rPr>
      </w:pPr>
      <w:r>
        <w:rPr>
          <w:color w:val="039be5"/>
          <w:rtl w:val="0"/>
        </w:rPr>
      </w:r>
      <w:r>
        <w:rPr>
          <w:color w:val="039be5"/>
          <w:sz w:val="36"/>
          <w:szCs w:val="36"/>
          <w:rtl w:val="0"/>
        </w:rPr>
        <w:t xml:space="preserve">6. Preguntas generadoras</w:t>
      </w:r>
      <w:r>
        <w:rPr>
          <w:color w:val="039be5"/>
          <w:sz w:val="36"/>
          <w:szCs w:val="36"/>
        </w:rPr>
      </w:r>
      <w:r>
        <w:rPr>
          <w:color w:val="039be5"/>
          <w:sz w:val="36"/>
          <w:szCs w:val="36"/>
        </w:rPr>
      </w:r>
    </w:p>
    <w:p>
      <w:pPr>
        <w:pStyle w:val="9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¿Cómo cambia la administración de datos y dispositivos al migrar un sistema IoT a la nube?</w:t>
      </w:r>
      <w:r/>
    </w:p>
    <w:p>
      <w:pPr>
        <w:pStyle w:val="9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¿Qué ventajas ofrece la automatización en los procesos de migración?</w:t>
      </w:r>
      <w:r/>
    </w:p>
    <w:p>
      <w:pPr>
        <w:pStyle w:val="9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¿Qué estrategias de seguridad deben aplicarse en entornos híbridos de IoT?</w:t>
      </w:r>
      <w:r/>
    </w:p>
    <w:p>
      <w:pPr>
        <w:pStyle w:val="1033"/>
        <w:pBdr/>
        <w:spacing/>
        <w:ind/>
        <w:rPr>
          <w:color w:val="0b5394"/>
        </w:rPr>
      </w:pPr>
      <w:r/>
      <w:bookmarkStart w:id="10" w:name="_tv915y5zfy6a"/>
      <w:r/>
      <w:bookmarkEnd w:id="10"/>
      <w:r>
        <w:rPr>
          <w:color w:val="0b5394"/>
        </w:rPr>
      </w:r>
      <w:r>
        <w:rPr>
          <w:color w:val="0b5394"/>
        </w:rPr>
      </w:r>
    </w:p>
    <w:p>
      <w:pPr>
        <w:pStyle w:val="1033"/>
        <w:pBdr/>
        <w:spacing/>
        <w:ind/>
        <w:rPr>
          <w:color w:val="039be5"/>
          <w:sz w:val="36"/>
          <w:szCs w:val="36"/>
        </w:rPr>
      </w:pPr>
      <w:r/>
      <w:bookmarkStart w:id="11" w:name="_qes8u4kmfipu"/>
      <w:r/>
      <w:bookmarkEnd w:id="11"/>
      <w:r>
        <w:rPr>
          <w:color w:val="039be5"/>
          <w:sz w:val="36"/>
          <w:szCs w:val="36"/>
          <w:rtl w:val="0"/>
        </w:rPr>
        <w:t xml:space="preserve">7. </w:t>
      </w:r>
      <w:r>
        <w:rPr>
          <w:color w:val="039be5"/>
          <w:sz w:val="36"/>
          <w:szCs w:val="36"/>
          <w:rtl w:val="0"/>
        </w:rPr>
        <w:t xml:space="preserve">Pongamos en Práctica la Teoría</w:t>
      </w:r>
      <w:r>
        <w:rPr>
          <w:color w:val="039be5"/>
          <w:sz w:val="36"/>
          <w:szCs w:val="36"/>
        </w:rPr>
      </w:r>
      <w:r>
        <w:rPr>
          <w:color w:val="039be5"/>
          <w:sz w:val="36"/>
          <w:szCs w:val="36"/>
        </w:rPr>
      </w:r>
    </w:p>
    <w:p>
      <w:pPr>
        <w:pStyle w:val="1034"/>
        <w:pBdr/>
        <w:spacing/>
        <w:ind w:firstLine="720"/>
        <w:rPr>
          <w:color w:val="bf9000"/>
        </w:rPr>
      </w:pPr>
      <w:r/>
      <w:bookmarkStart w:id="12" w:name="_xve4squfge4"/>
      <w:r/>
      <w:bookmarkEnd w:id="12"/>
      <w:r>
        <w:rPr>
          <w:color w:val="bf9000"/>
          <w:rtl w:val="0"/>
        </w:rPr>
        <w:t xml:space="preserve">7.1. </w:t>
      </w:r>
      <w:r>
        <w:rPr>
          <w:color w:val="bf9000"/>
          <w:rtl w:val="0"/>
        </w:rPr>
        <w:t xml:space="preserve">Caso de Estudio 1</w:t>
      </w:r>
      <w:r>
        <w:rPr>
          <w:color w:val="bf9000"/>
        </w:rPr>
      </w:r>
      <w:r>
        <w:rPr>
          <w:color w:val="bf9000"/>
        </w:rPr>
      </w:r>
    </w:p>
    <w:p>
      <w:pPr>
        <w:pBdr/>
        <w:spacing/>
        <w:ind w:firstLine="0" w:left="0"/>
        <w:rPr>
          <w:color w:val="b7b7b7"/>
        </w:rPr>
      </w:pPr>
      <w:r>
        <w:rPr>
          <w:color w:val="b7b7b7"/>
          <w:rtl w:val="0"/>
        </w:rPr>
      </w:r>
      <w:r>
        <w:t xml:space="preserve">Problema: Los agricultores no podían monitorear en tiempo real la humedad del suelo y temperatura debido a la falta de conectividad.</w:t>
        <w:br/>
        <w:t xml:space="preserve">Impacto: Pérdidas de producción por riego ineficiente.</w:t>
        <w:br/>
        <w:t xml:space="preserve">Solución: Se implementó una red IoT con sensores conectados a AWS Io</w:t>
      </w:r>
      <w:r>
        <w:t xml:space="preserve">T Core y paneles en la nube. Los datos se analizaron con IoT Analytics y Lambda, mejorando la productividad agrícola en un 25%.</w:t>
      </w:r>
      <w:r>
        <w:rPr>
          <w:color w:val="b7b7b7"/>
        </w:rPr>
      </w:r>
      <w:r>
        <w:rPr>
          <w:color w:val="b7b7b7"/>
        </w:rPr>
      </w:r>
    </w:p>
    <w:p>
      <w:pPr>
        <w:pStyle w:val="1034"/>
        <w:pBdr/>
        <w:spacing/>
        <w:ind w:firstLine="720"/>
        <w:rPr>
          <w:color w:val="bf9000"/>
        </w:rPr>
      </w:pPr>
      <w:r/>
      <w:bookmarkStart w:id="13" w:name="_t0p16br8emda"/>
      <w:r/>
      <w:bookmarkEnd w:id="13"/>
      <w:r>
        <w:rPr>
          <w:color w:val="bf9000"/>
          <w:rtl w:val="0"/>
        </w:rPr>
        <w:t xml:space="preserve">7.2. Caso de Estudio 2</w:t>
      </w:r>
      <w:r>
        <w:rPr>
          <w:color w:val="bf9000"/>
        </w:rPr>
      </w:r>
      <w:r>
        <w:rPr>
          <w:color w:val="bf9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Problema: Una empresa no podía medir el consumo energético en distintas sedes.</w:t>
        <w:br/>
        <w:t xml:space="preserve">Impacto: Costos elevados y sin control.</w:t>
        <w:br/>
        <w:t xml:space="preserve">Solución: Implementación de Azure IoT Hub con sensores inteligentes. Los datos fueron analizados en Azure Synapse Analytics, lo que permi</w:t>
      </w:r>
      <w:r>
        <w:t xml:space="preserve">tió optimizar el uso energético y reducir costos en un 30%.</w:t>
      </w:r>
      <w:r/>
    </w:p>
    <w:p>
      <w:pPr>
        <w:pBdr/>
        <w:spacing/>
        <w:ind w:firstLine="0" w:left="0"/>
        <w:rPr>
          <w:color w:val="b7b7b7"/>
        </w:rPr>
      </w:pPr>
      <w:r>
        <w:rPr>
          <w:rtl w:val="0"/>
        </w:rPr>
      </w:r>
      <w:r>
        <w:rPr>
          <w:color w:val="b7b7b7"/>
        </w:rPr>
      </w:r>
      <w:r>
        <w:rPr>
          <w:color w:val="b7b7b7"/>
        </w:rPr>
      </w:r>
    </w:p>
    <w:p>
      <w:pPr>
        <w:pStyle w:val="1032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480" w:line="300" w:lineRule="auto"/>
        <w:ind/>
        <w:rPr>
          <w:rFonts w:ascii="Proxima Nova" w:hAnsi="Proxima Nova" w:eastAsia="Proxima Nova" w:cs="Proxima Nova"/>
          <w:color w:val="039be5"/>
          <w:sz w:val="36"/>
          <w:szCs w:val="36"/>
        </w:rPr>
      </w:pPr>
      <w:r/>
      <w:bookmarkStart w:id="14" w:name="_i85ws8se9wc5"/>
      <w:r/>
      <w:bookmarkEnd w:id="14"/>
      <w:r>
        <w:rPr>
          <w:rtl w:val="0"/>
        </w:rPr>
        <w:t xml:space="preserve">8. Conclusión</w:t>
      </w:r>
      <w:r>
        <w:rPr>
          <w:rFonts w:ascii="Proxima Nova" w:hAnsi="Proxima Nova" w:eastAsia="Proxima Nova" w:cs="Proxima Nova"/>
          <w:color w:val="039be5"/>
          <w:sz w:val="36"/>
          <w:szCs w:val="36"/>
        </w:rPr>
      </w:r>
      <w:r>
        <w:rPr>
          <w:rFonts w:ascii="Proxima Nova" w:hAnsi="Proxima Nova" w:eastAsia="Proxima Nova" w:cs="Proxima Nova"/>
          <w:color w:val="039be5"/>
          <w:sz w:val="36"/>
          <w:szCs w:val="36"/>
        </w:rPr>
      </w:r>
    </w:p>
    <w:p>
      <w:pPr>
        <w:pBdr/>
        <w:spacing/>
        <w:ind w:firstLine="0" w:left="0"/>
        <w:rPr>
          <w:color w:val="666666"/>
        </w:rPr>
      </w:pPr>
      <w:r>
        <w:rPr>
          <w:color w:val="b7b7b7"/>
          <w:rtl w:val="0"/>
        </w:rPr>
      </w:r>
      <w:r>
        <w:t xml:space="preserve">La migración a la nube representa un paso estratégico hacia la digitalización y la eficiencia. En el contexto del IoT, los servicios en la nube permiten no solo almacenar y analizar grandes volúmenes de datos, sino también escalar sistemas, asegurar la inf</w:t>
      </w:r>
      <w:r>
        <w:t xml:space="preserve">ormación y automatizar procesos.</w:t>
        <w:br/>
        <w:t xml:space="preserve"> Adoptar soluciones en la nube es fundamental para el desarrollo de infraestructuras inteligentes y sostenibles en la era digital.</w:t>
      </w:r>
      <w:r>
        <w:rPr>
          <w:color w:val="666666"/>
        </w:rPr>
      </w:r>
      <w:r>
        <w:rPr>
          <w:color w:val="666666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rebuchet MS">
    <w:panose1 w:val="020B0603020202020204"/>
  </w:font>
  <w:font w:name="Arial">
    <w:panose1 w:val="020B0604020202020204"/>
  </w:font>
  <w:font w:name="Proxima Nova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/>
      <w:ind/>
      <w:jc w:val="right"/>
      <w:rPr/>
    </w:pPr>
    <w:r>
      <w:fldChar w:fldCharType="begin"/>
      <w:instrText xml:space="preserve">PAGE</w:instrText>
      <w:fldChar w:fldCharType="separate"/>
      <w:fldChar w:fldCharType="end"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-914399</wp:posOffset>
              </wp:positionH>
              <wp:positionV relativeFrom="paragraph">
                <wp:posOffset>438150</wp:posOffset>
              </wp:positionV>
              <wp:extent cx="7781925" cy="409575"/>
              <wp:effectExtent l="0" t="0" r="0" b="0"/>
              <wp:wrapTopAndBottom/>
              <wp:docPr id="5" name="image2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0;o:allowoverlap:true;o:allowincell:true;mso-position-horizontal-relative:text;margin-left:-72.00pt;mso-position-horizontal:absolute;mso-position-vertical-relative:text;margin-top:34.50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/>
      <w:ind/>
      <w:jc w:val="right"/>
      <w:rPr/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-914399</wp:posOffset>
              </wp:positionH>
              <wp:positionV relativeFrom="paragraph">
                <wp:posOffset>438150</wp:posOffset>
              </wp:positionV>
              <wp:extent cx="7781925" cy="409575"/>
              <wp:effectExtent l="0" t="0" r="0" b="0"/>
              <wp:wrapTopAndBottom/>
              <wp:docPr id="6" name="image2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0;o:allowoverlap:true;o:allowincell:true;mso-position-horizontal-relative:text;margin-left:-72.00pt;mso-position-horizontal:absolute;mso-position-vertical-relative:text;margin-top:34.50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before="640" w:line="300" w:lineRule="auto"/>
      <w:ind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  <w:rtl w:val="0"/>
      </w:rPr>
      <w:t xml:space="preserve">Nombre del Curso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-914399</wp:posOffset>
              </wp:positionH>
              <wp:positionV relativeFrom="paragraph">
                <wp:posOffset>-66674</wp:posOffset>
              </wp:positionV>
              <wp:extent cx="7781925" cy="95250"/>
              <wp:effectExtent l="0" t="0" r="0" b="0"/>
              <wp:wrapTopAndBottom/>
              <wp:docPr id="1" name="image2.png" descr="línea horizonta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línea horizontal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952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72.00pt;mso-position-horizontal:absolute;mso-position-vertical-relative:text;margin-top:-5.25pt;mso-position-vertical:absolute;width:612.75pt;height:7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-919162</wp:posOffset>
              </wp:positionH>
              <wp:positionV relativeFrom="paragraph">
                <wp:posOffset>-66674</wp:posOffset>
              </wp:positionV>
              <wp:extent cx="7781925" cy="95250"/>
              <wp:effectExtent l="0" t="0" r="0" b="0"/>
              <wp:wrapTopAndBottom/>
              <wp:docPr id="2" name="image2.png" descr="horizontal lin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horizontal line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952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72.37pt;mso-position-horizontal:absolute;mso-position-vertical-relative:text;margin-top:-5.25pt;mso-position-vertical:absolute;width:612.75pt;height:7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roxima Nova" w:hAnsi="Proxima Nova" w:eastAsia="Proxima Nova" w:cs="Proxima Nova"/>
        <w:color w:val="666666"/>
        <w:sz w:val="20"/>
        <w:szCs w:val="20"/>
      </w:rPr>
    </w:r>
    <w:r>
      <w:rPr>
        <w:rFonts w:ascii="Proxima Nova" w:hAnsi="Proxima Nova" w:eastAsia="Proxima Nova" w:cs="Proxima Nova"/>
        <w:color w:val="666666"/>
        <w:sz w:val="20"/>
        <w:szCs w:val="20"/>
      </w:rPr>
    </w:r>
  </w:p>
  <w:p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line="300" w:lineRule="auto"/>
      <w:ind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ascii="Proxima Nova" w:hAnsi="Proxima Nova" w:eastAsia="Proxima Nova" w:cs="Proxima Nova"/>
        <w:color w:val="666666"/>
        <w:sz w:val="20"/>
        <w:szCs w:val="20"/>
      </w:rPr>
      <mc:AlternateContent>
        <mc:Choice Requires="wpg">
          <w:drawing>
            <wp:inline xmlns:wp="http://schemas.openxmlformats.org/drawingml/2006/wordprocessingDrawing" distT="0" distB="0" distL="0" distR="0">
              <wp:extent cx="447675" cy="57150"/>
              <wp:effectExtent l="0" t="0" r="0" b="0"/>
              <wp:docPr id="3" name="image1.png" descr="línea cort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línea corta"/>
                      <pic:cNvPicPr/>
                      <pic:nvPr/>
                    </pic:nvPicPr>
                    <pic:blipFill rotWithShape="1">
                      <a:blip r:embed="rId2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447675" cy="571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width:35.25pt;height:4.50pt;mso-wrap-distance-left:0.00pt;mso-wrap-distance-top:0.00pt;mso-wrap-distance-right:0.00pt;mso-wrap-distance-bottom:0.00pt;z-index:1;">
              <v:imagedata r:id="rId2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Proxima Nova" w:hAnsi="Proxima Nova" w:eastAsia="Proxima Nova" w:cs="Proxima Nova"/>
        <w:color w:val="666666"/>
        <w:sz w:val="20"/>
        <w:szCs w:val="20"/>
      </w:rPr>
    </w:r>
    <w:r>
      <w:rPr>
        <w:rFonts w:ascii="Proxima Nova" w:hAnsi="Proxima Nova" w:eastAsia="Proxima Nova" w:cs="Proxima Nova"/>
        <w:color w:val="666666"/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before="640"/>
      <w:ind/>
      <w:rPr/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-919162</wp:posOffset>
              </wp:positionH>
              <wp:positionV relativeFrom="paragraph">
                <wp:posOffset>-66674</wp:posOffset>
              </wp:positionV>
              <wp:extent cx="7781925" cy="95250"/>
              <wp:effectExtent l="0" t="0" r="0" b="0"/>
              <wp:wrapTopAndBottom/>
              <wp:docPr id="4" name="image2.png" descr="línea horizonta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línea horizontal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952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0;o:allowoverlap:true;o:allowincell:true;mso-position-horizontal-relative:text;margin-left:-72.37pt;mso-position-horizontal:absolute;mso-position-vertical-relative:text;margin-top:-5.25pt;mso-position-vertical:absolute;width:612.75pt;height:7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643935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07368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5D365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F14B6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5D406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A1E42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CFFDC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3A79F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8B0B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2F8D2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30F87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Proxima Nova" w:hAnsi="Proxima Nova" w:eastAsia="Proxima Nova" w:cs="Proxima Nova"/>
        <w:sz w:val="22"/>
        <w:szCs w:val="22"/>
        <w:lang w:val="es" w:eastAsia="zh-CN" w:bidi="ar-SA"/>
      </w:rPr>
    </w:rPrDefault>
    <w:pPrDefault>
      <w:pPr>
        <w:pBdr/>
        <w:spacing w:after="0" w:afterAutospacing="0" w:before="200" w:beforeAutospacing="0" w:line="30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Table Grid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Table Grid Light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1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2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1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2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3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5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6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Heading 7"/>
    <w:basedOn w:val="1031"/>
    <w:next w:val="1031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7">
    <w:name w:val="Heading 8"/>
    <w:basedOn w:val="1031"/>
    <w:next w:val="1031"/>
    <w:link w:val="9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8">
    <w:name w:val="Heading 9"/>
    <w:basedOn w:val="1031"/>
    <w:next w:val="1031"/>
    <w:link w:val="9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9" w:default="1">
    <w:name w:val="Default Paragraph Font"/>
    <w:uiPriority w:val="1"/>
    <w:semiHidden/>
    <w:unhideWhenUsed/>
    <w:pPr>
      <w:pBdr/>
      <w:spacing/>
      <w:ind/>
    </w:pPr>
  </w:style>
  <w:style w:type="numbering" w:styleId="980" w:default="1">
    <w:name w:val="No List"/>
    <w:uiPriority w:val="99"/>
    <w:semiHidden/>
    <w:unhideWhenUsed/>
    <w:pPr>
      <w:pBdr/>
      <w:spacing/>
      <w:ind/>
    </w:pPr>
  </w:style>
  <w:style w:type="character" w:styleId="981">
    <w:name w:val="Heading 1 Char"/>
    <w:basedOn w:val="979"/>
    <w:link w:val="10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2">
    <w:name w:val="Heading 2 Char"/>
    <w:basedOn w:val="979"/>
    <w:link w:val="10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3">
    <w:name w:val="Heading 3 Char"/>
    <w:basedOn w:val="979"/>
    <w:link w:val="10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4">
    <w:name w:val="Heading 4 Char"/>
    <w:basedOn w:val="979"/>
    <w:link w:val="10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5">
    <w:name w:val="Heading 5 Char"/>
    <w:basedOn w:val="979"/>
    <w:link w:val="10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6">
    <w:name w:val="Heading 6 Char"/>
    <w:basedOn w:val="979"/>
    <w:link w:val="10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7">
    <w:name w:val="Heading 7 Char"/>
    <w:basedOn w:val="979"/>
    <w:link w:val="9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8">
    <w:name w:val="Heading 8 Char"/>
    <w:basedOn w:val="979"/>
    <w:link w:val="9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9">
    <w:name w:val="Heading 9 Char"/>
    <w:basedOn w:val="979"/>
    <w:link w:val="9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0">
    <w:name w:val="Title Char"/>
    <w:basedOn w:val="979"/>
    <w:link w:val="10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1">
    <w:name w:val="Subtitle Char"/>
    <w:basedOn w:val="979"/>
    <w:link w:val="10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2">
    <w:name w:val="Quote"/>
    <w:basedOn w:val="1031"/>
    <w:next w:val="1031"/>
    <w:link w:val="9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3">
    <w:name w:val="Quote Char"/>
    <w:basedOn w:val="979"/>
    <w:link w:val="9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4">
    <w:name w:val="List Paragraph"/>
    <w:basedOn w:val="1031"/>
    <w:uiPriority w:val="34"/>
    <w:qFormat/>
    <w:pPr>
      <w:pBdr/>
      <w:spacing/>
      <w:ind w:left="720"/>
      <w:contextualSpacing w:val="true"/>
    </w:pPr>
  </w:style>
  <w:style w:type="character" w:styleId="995">
    <w:name w:val="Intense Emphasis"/>
    <w:basedOn w:val="9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6">
    <w:name w:val="Intense Quote"/>
    <w:basedOn w:val="1031"/>
    <w:next w:val="1031"/>
    <w:link w:val="9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7">
    <w:name w:val="Intense Quote Char"/>
    <w:basedOn w:val="979"/>
    <w:link w:val="9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8">
    <w:name w:val="Intense Reference"/>
    <w:basedOn w:val="9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9">
    <w:name w:val="No Spacing"/>
    <w:basedOn w:val="1031"/>
    <w:uiPriority w:val="1"/>
    <w:qFormat/>
    <w:pPr>
      <w:pBdr/>
      <w:spacing w:after="0" w:line="240" w:lineRule="auto"/>
      <w:ind/>
    </w:pPr>
  </w:style>
  <w:style w:type="character" w:styleId="1000">
    <w:name w:val="Subtle Emphasis"/>
    <w:basedOn w:val="9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1">
    <w:name w:val="Emphasis"/>
    <w:basedOn w:val="979"/>
    <w:uiPriority w:val="20"/>
    <w:qFormat/>
    <w:pPr>
      <w:pBdr/>
      <w:spacing/>
      <w:ind/>
    </w:pPr>
    <w:rPr>
      <w:i/>
      <w:iCs/>
    </w:rPr>
  </w:style>
  <w:style w:type="character" w:styleId="1002">
    <w:name w:val="Strong"/>
    <w:basedOn w:val="979"/>
    <w:uiPriority w:val="22"/>
    <w:qFormat/>
    <w:pPr>
      <w:pBdr/>
      <w:spacing/>
      <w:ind/>
    </w:pPr>
    <w:rPr>
      <w:b/>
      <w:bCs/>
    </w:rPr>
  </w:style>
  <w:style w:type="character" w:styleId="1003">
    <w:name w:val="Subtle Reference"/>
    <w:basedOn w:val="9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4">
    <w:name w:val="Book Title"/>
    <w:basedOn w:val="9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5">
    <w:name w:val="Header"/>
    <w:basedOn w:val="1031"/>
    <w:link w:val="10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6">
    <w:name w:val="Header Char"/>
    <w:basedOn w:val="979"/>
    <w:link w:val="1005"/>
    <w:uiPriority w:val="99"/>
    <w:pPr>
      <w:pBdr/>
      <w:spacing/>
      <w:ind/>
    </w:pPr>
  </w:style>
  <w:style w:type="paragraph" w:styleId="1007">
    <w:name w:val="Footer"/>
    <w:basedOn w:val="1031"/>
    <w:link w:val="10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8">
    <w:name w:val="Footer Char"/>
    <w:basedOn w:val="979"/>
    <w:link w:val="1007"/>
    <w:uiPriority w:val="99"/>
    <w:pPr>
      <w:pBdr/>
      <w:spacing/>
      <w:ind/>
    </w:pPr>
  </w:style>
  <w:style w:type="paragraph" w:styleId="1009">
    <w:name w:val="Caption"/>
    <w:basedOn w:val="1031"/>
    <w:next w:val="10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0">
    <w:name w:val="footnote text"/>
    <w:basedOn w:val="1031"/>
    <w:link w:val="10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1">
    <w:name w:val="Footnote Text Char"/>
    <w:basedOn w:val="979"/>
    <w:link w:val="1010"/>
    <w:uiPriority w:val="99"/>
    <w:semiHidden/>
    <w:pPr>
      <w:pBdr/>
      <w:spacing/>
      <w:ind/>
    </w:pPr>
    <w:rPr>
      <w:sz w:val="20"/>
      <w:szCs w:val="20"/>
    </w:rPr>
  </w:style>
  <w:style w:type="character" w:styleId="1012">
    <w:name w:val="footnote reference"/>
    <w:basedOn w:val="979"/>
    <w:uiPriority w:val="99"/>
    <w:semiHidden/>
    <w:unhideWhenUsed/>
    <w:pPr>
      <w:pBdr/>
      <w:spacing/>
      <w:ind/>
    </w:pPr>
    <w:rPr>
      <w:vertAlign w:val="superscript"/>
    </w:rPr>
  </w:style>
  <w:style w:type="paragraph" w:styleId="1013">
    <w:name w:val="endnote text"/>
    <w:basedOn w:val="1031"/>
    <w:link w:val="10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4">
    <w:name w:val="Endnote Text Char"/>
    <w:basedOn w:val="979"/>
    <w:link w:val="1013"/>
    <w:uiPriority w:val="99"/>
    <w:semiHidden/>
    <w:pPr>
      <w:pBdr/>
      <w:spacing/>
      <w:ind/>
    </w:pPr>
    <w:rPr>
      <w:sz w:val="20"/>
      <w:szCs w:val="20"/>
    </w:rPr>
  </w:style>
  <w:style w:type="character" w:styleId="1015">
    <w:name w:val="endnote reference"/>
    <w:basedOn w:val="979"/>
    <w:uiPriority w:val="99"/>
    <w:semiHidden/>
    <w:unhideWhenUsed/>
    <w:pPr>
      <w:pBdr/>
      <w:spacing/>
      <w:ind/>
    </w:pPr>
    <w:rPr>
      <w:vertAlign w:val="superscript"/>
    </w:rPr>
  </w:style>
  <w:style w:type="character" w:styleId="1016">
    <w:name w:val="Hyperlink"/>
    <w:basedOn w:val="9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7">
    <w:name w:val="FollowedHyperlink"/>
    <w:basedOn w:val="9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8">
    <w:name w:val="toc 1"/>
    <w:basedOn w:val="1031"/>
    <w:next w:val="1031"/>
    <w:uiPriority w:val="39"/>
    <w:unhideWhenUsed/>
    <w:pPr>
      <w:pBdr/>
      <w:spacing w:after="100"/>
      <w:ind/>
    </w:pPr>
  </w:style>
  <w:style w:type="paragraph" w:styleId="1019">
    <w:name w:val="toc 2"/>
    <w:basedOn w:val="1031"/>
    <w:next w:val="1031"/>
    <w:uiPriority w:val="39"/>
    <w:unhideWhenUsed/>
    <w:pPr>
      <w:pBdr/>
      <w:spacing w:after="100"/>
      <w:ind w:left="220"/>
    </w:pPr>
  </w:style>
  <w:style w:type="paragraph" w:styleId="1020">
    <w:name w:val="toc 3"/>
    <w:basedOn w:val="1031"/>
    <w:next w:val="1031"/>
    <w:uiPriority w:val="39"/>
    <w:unhideWhenUsed/>
    <w:pPr>
      <w:pBdr/>
      <w:spacing w:after="100"/>
      <w:ind w:left="440"/>
    </w:pPr>
  </w:style>
  <w:style w:type="paragraph" w:styleId="1021">
    <w:name w:val="toc 4"/>
    <w:basedOn w:val="1031"/>
    <w:next w:val="1031"/>
    <w:uiPriority w:val="39"/>
    <w:unhideWhenUsed/>
    <w:pPr>
      <w:pBdr/>
      <w:spacing w:after="100"/>
      <w:ind w:left="660"/>
    </w:pPr>
  </w:style>
  <w:style w:type="paragraph" w:styleId="1022">
    <w:name w:val="toc 5"/>
    <w:basedOn w:val="1031"/>
    <w:next w:val="1031"/>
    <w:uiPriority w:val="39"/>
    <w:unhideWhenUsed/>
    <w:pPr>
      <w:pBdr/>
      <w:spacing w:after="100"/>
      <w:ind w:left="880"/>
    </w:pPr>
  </w:style>
  <w:style w:type="paragraph" w:styleId="1023">
    <w:name w:val="toc 6"/>
    <w:basedOn w:val="1031"/>
    <w:next w:val="1031"/>
    <w:uiPriority w:val="39"/>
    <w:unhideWhenUsed/>
    <w:pPr>
      <w:pBdr/>
      <w:spacing w:after="100"/>
      <w:ind w:left="1100"/>
    </w:pPr>
  </w:style>
  <w:style w:type="paragraph" w:styleId="1024">
    <w:name w:val="toc 7"/>
    <w:basedOn w:val="1031"/>
    <w:next w:val="1031"/>
    <w:uiPriority w:val="39"/>
    <w:unhideWhenUsed/>
    <w:pPr>
      <w:pBdr/>
      <w:spacing w:after="100"/>
      <w:ind w:left="1320"/>
    </w:pPr>
  </w:style>
  <w:style w:type="paragraph" w:styleId="1025">
    <w:name w:val="toc 8"/>
    <w:basedOn w:val="1031"/>
    <w:next w:val="1031"/>
    <w:uiPriority w:val="39"/>
    <w:unhideWhenUsed/>
    <w:pPr>
      <w:pBdr/>
      <w:spacing w:after="100"/>
      <w:ind w:left="1540"/>
    </w:pPr>
  </w:style>
  <w:style w:type="paragraph" w:styleId="1026">
    <w:name w:val="toc 9"/>
    <w:basedOn w:val="1031"/>
    <w:next w:val="1031"/>
    <w:uiPriority w:val="39"/>
    <w:unhideWhenUsed/>
    <w:pPr>
      <w:pBdr/>
      <w:spacing w:after="100"/>
      <w:ind w:left="1760"/>
    </w:pPr>
  </w:style>
  <w:style w:type="character" w:styleId="1027">
    <w:name w:val="Placeholder Text"/>
    <w:basedOn w:val="979"/>
    <w:uiPriority w:val="99"/>
    <w:semiHidden/>
    <w:pPr>
      <w:pBdr/>
      <w:spacing/>
      <w:ind/>
    </w:pPr>
    <w:rPr>
      <w:color w:val="666666"/>
    </w:rPr>
  </w:style>
  <w:style w:type="paragraph" w:styleId="1028">
    <w:name w:val="TOC Heading"/>
    <w:uiPriority w:val="39"/>
    <w:unhideWhenUsed/>
    <w:pPr>
      <w:pBdr/>
      <w:spacing/>
      <w:ind/>
    </w:pPr>
  </w:style>
  <w:style w:type="paragraph" w:styleId="1029">
    <w:name w:val="table of figures"/>
    <w:basedOn w:val="1031"/>
    <w:next w:val="1031"/>
    <w:uiPriority w:val="99"/>
    <w:unhideWhenUsed/>
    <w:pPr>
      <w:pBdr/>
      <w:spacing w:after="0" w:afterAutospacing="0"/>
      <w:ind/>
    </w:pPr>
  </w:style>
  <w:style w:type="table" w:styleId="103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1" w:default="1">
    <w:name w:val="Normal"/>
    <w:pPr>
      <w:pBdr/>
      <w:spacing/>
      <w:ind/>
    </w:pPr>
  </w:style>
  <w:style w:type="paragraph" w:styleId="1032">
    <w:name w:val="Heading 1"/>
    <w:basedOn w:val="1031"/>
    <w:next w:val="1031"/>
    <w:pPr>
      <w:keepNext w:val="true"/>
      <w:keepLines w:val="true"/>
      <w:pageBreakBefore w:val="false"/>
      <w:pBdr/>
      <w:spacing w:before="480"/>
      <w:ind/>
    </w:pPr>
    <w:rPr>
      <w:color w:val="039be5"/>
      <w:sz w:val="36"/>
      <w:szCs w:val="36"/>
    </w:rPr>
  </w:style>
  <w:style w:type="paragraph" w:styleId="1033">
    <w:name w:val="Heading 2"/>
    <w:basedOn w:val="1031"/>
    <w:next w:val="1031"/>
    <w:pPr>
      <w:keepNext w:val="true"/>
      <w:keepLines w:val="true"/>
      <w:pBdr/>
      <w:spacing/>
      <w:ind/>
    </w:pPr>
    <w:rPr>
      <w:color w:val="bf9000"/>
      <w:sz w:val="28"/>
      <w:szCs w:val="28"/>
    </w:rPr>
  </w:style>
  <w:style w:type="paragraph" w:styleId="1034">
    <w:name w:val="Heading 3"/>
    <w:basedOn w:val="1031"/>
    <w:next w:val="1031"/>
    <w:pPr>
      <w:keepNext w:val="true"/>
      <w:keepLines w:val="true"/>
      <w:pageBreakBefore w:val="false"/>
      <w:pBdr/>
      <w:spacing/>
      <w:ind/>
    </w:pPr>
    <w:rPr>
      <w:color w:val="008a05"/>
      <w:sz w:val="24"/>
      <w:szCs w:val="24"/>
    </w:rPr>
  </w:style>
  <w:style w:type="paragraph" w:styleId="1035">
    <w:name w:val="Heading 4"/>
    <w:basedOn w:val="1031"/>
    <w:next w:val="1031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1036">
    <w:name w:val="Heading 5"/>
    <w:basedOn w:val="1031"/>
    <w:next w:val="1031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1037">
    <w:name w:val="Heading 6"/>
    <w:basedOn w:val="1031"/>
    <w:next w:val="1031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1038">
    <w:name w:val="Title"/>
    <w:basedOn w:val="1031"/>
    <w:next w:val="1031"/>
    <w:pPr>
      <w:keepNext w:val="true"/>
      <w:keepLines w:val="true"/>
      <w:pageBreakBefore w:val="false"/>
      <w:pBdr/>
      <w:spacing w:before="1440" w:line="240" w:lineRule="auto"/>
      <w:ind/>
    </w:pPr>
    <w:rPr>
      <w:rFonts w:ascii="Proxima Nova" w:hAnsi="Proxima Nova" w:eastAsia="Proxima Nova" w:cs="Proxima Nova"/>
      <w:b/>
      <w:color w:val="404040"/>
      <w:sz w:val="96"/>
      <w:szCs w:val="96"/>
    </w:rPr>
  </w:style>
  <w:style w:type="paragraph" w:styleId="1039">
    <w:name w:val="Subtitle"/>
    <w:basedOn w:val="1031"/>
    <w:next w:val="1031"/>
    <w:pPr>
      <w:keepNext w:val="true"/>
      <w:keepLines w:val="true"/>
      <w:pageBreakBefore w:val="false"/>
      <w:pBdr/>
      <w:spacing w:after="200"/>
      <w:ind/>
    </w:pPr>
    <w:rPr>
      <w:sz w:val="32"/>
      <w:szCs w:val="32"/>
    </w:rPr>
  </w:style>
  <w:style w:type="table" w:styleId="1040">
    <w:name w:val="StGen0"/>
    <w:basedOn w:val="103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StGen1"/>
    <w:basedOn w:val="103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azure.microsoft.com/es-es/resources/cloud-computing-dictionary/what-is-cloud-migration/" TargetMode="External"/><Relationship Id="rId16" Type="http://schemas.openxmlformats.org/officeDocument/2006/relationships/hyperlink" Target="https://impactotic.co/tecnologia/cloud/migracion-a-la-nube-subase-a-la-tendencia-del-momento/" TargetMode="External"/><Relationship Id="rId17" Type="http://schemas.openxmlformats.org/officeDocument/2006/relationships/hyperlink" Target="https://ndmarketingdigital.com/como-se-conecta-iot-a-la-nube/" TargetMode="External"/><Relationship Id="rId18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2025-10-29T21:13:11Z</dcterms:modified>
</cp:coreProperties>
</file>