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Ejemplo Guiado #5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Sincronización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5.png"/>
            <a:graphic>
              <a:graphicData uri="http://schemas.openxmlformats.org/drawingml/2006/picture">
                <pic:pic>
                  <pic:nvPicPr>
                    <pic:cNvPr descr="línea corta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3.1.1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Condición de carrera: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Problema que ocurre cuando dos o más procesos acceden concurrentemente a recursos compartidos y el resultado depende del orden de ejecución.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Sincronización: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 para coordinar la ejecución de procesos o hilos que comparten recursos.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Mutex: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Mecanismo de exclusión mutua que permite que solo un hilo acceda a un recurso a la vez.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Semáforo: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Variable especial usada para controlar el acceso a recursos mediante operaciones de espera (wait) y señal (signal).</w:t>
            </w:r>
          </w:p>
        </w:tc>
      </w:tr>
    </w:tbl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1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3.3.1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explica las diferencias entre ejecución concurrente, ejecución paralela y paralelismo en el contexto de los sistemas operativos y aplica este conocimiento para seleccionar y emplear adecuadamente herramientas de gestión de memoria y procesos en sus desarrollos. 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explica las diferencias entre ejecución concurrente, ejecución paralela y paralelismo en el contexto de los sistemas operativos y aplica este conocimiento para seleccionar y emplear adecuadamente herramientas de gestión de memoria y procesos en sus desarrollos.</w:t>
            </w:r>
          </w:p>
        </w:tc>
      </w:tr>
    </w:tbl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este ejemplo explicaremos los semáforos y mutex, dos métodos de sincronización de procesos. El ejemplo incluye 3 programas de usuario que usaran mutex, semaphore (creado manualmente) y semáforo creado usando una librería.</w:t>
            </w:r>
          </w:p>
        </w:tc>
      </w:tr>
    </w:tbl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VMWare Workstation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virtual o físico de GNU/Linux, distribución basada en debian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Studio code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Compilador de C/C++ (gcc)</w:t>
            </w:r>
          </w:p>
        </w:tc>
      </w:tr>
    </w:tbl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 - Repositorio Sopes 2 - Ejemplo 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br w:type="textWrapping"/>
        <w:t xml:space="preserve">Se obtendrán logs como parte de la ejecución de nuestros programas que permiten visualizar el flujo de cómo se ejecutan los programas gracias a la sincronización de mutex y semáforo.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333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54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Recuerda que en una educación por competencias enseñamos valores indica ejemplos prácticos  desde lo aprendido como van los valores aplicados.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Nuestra casa de estudios cuenta con valores como Excelencia, Compromiso Responsabilidad, Ética  Integridad, trata de relacionarlos con el ejercicio o tarea que es colocado</w:t>
            </w:r>
          </w:p>
        </w:tc>
      </w:tr>
    </w:tbl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9.png"/>
          <a:graphic>
            <a:graphicData uri="http://schemas.openxmlformats.org/drawingml/2006/picture">
              <pic:pic>
                <pic:nvPicPr>
                  <pic:cNvPr descr="pie de página" id="0" name="image9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  <w:t xml:space="preserve">Sistemas Operativos 2</w:t>
    </w:r>
  </w:p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header" Target="header1.xml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285sopes2usac/SOPES2/tree/main/Ejemplo%20Sincronizacion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