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2da Parte: Herramienta de Compilación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30 </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En las fases iniciales del desarrollo de un compilador, es de suma importancia contar con herramientas que permitan analizar y procesar el código fuente de manera eficiente.</w:t>
      </w:r>
      <w:r w:rsidDel="00000000" w:rsidR="00000000" w:rsidRPr="00000000">
        <w:rPr>
          <w:rtl w:val="0"/>
        </w:rPr>
        <w:t xml:space="preserve"> Una herramienta que podemos usar es PLY</w:t>
      </w:r>
      <w:r w:rsidDel="00000000" w:rsidR="00000000" w:rsidRPr="00000000">
        <w:rPr>
          <w:rtl w:val="0"/>
        </w:rPr>
        <w:t xml:space="preserve">, Se encarga tanto de los analizadores léxicos como de los sintácticos.</w:t>
      </w:r>
      <w:r w:rsidDel="00000000" w:rsidR="00000000" w:rsidRPr="00000000">
        <w:rPr>
          <w:rtl w:val="0"/>
        </w:rPr>
      </w:r>
    </w:p>
    <w:p w:rsidR="00000000" w:rsidDel="00000000" w:rsidP="00000000" w:rsidRDefault="00000000" w:rsidRPr="00000000" w14:paraId="0000000C">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r>
    </w:p>
    <w:p w:rsidR="00000000" w:rsidDel="00000000" w:rsidP="00000000" w:rsidRDefault="00000000" w:rsidRPr="00000000" w14:paraId="0000000E">
      <w:pPr>
        <w:numPr>
          <w:ilvl w:val="0"/>
          <w:numId w:val="4"/>
        </w:numPr>
        <w:spacing w:before="0" w:beforeAutospacing="0"/>
        <w:ind w:left="720" w:hanging="360"/>
        <w:rPr>
          <w:u w:val="none"/>
        </w:rPr>
      </w:pPr>
      <w:r w:rsidDel="00000000" w:rsidR="00000000" w:rsidRPr="00000000">
        <w:rPr>
          <w:rtl w:val="0"/>
        </w:rPr>
        <w:t xml:space="preserve">Desarrolla analizadores sintácticos con herramientas de análisis sintáctico, gramáticas LL/LR para validar la estructura de programas y construir AST.</w:t>
      </w:r>
      <w:r w:rsidDel="00000000" w:rsidR="00000000" w:rsidRPr="00000000">
        <w:rPr>
          <w:rtl w:val="0"/>
        </w:rPr>
      </w:r>
    </w:p>
    <w:p w:rsidR="00000000" w:rsidDel="00000000" w:rsidP="00000000" w:rsidRDefault="00000000" w:rsidRPr="00000000" w14:paraId="0000000F">
      <w:pPr>
        <w:pStyle w:val="Heading1"/>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Se debe realizar un documento en el que se incluya, en primer lugar, una descripción breve de que es PLY, como se instala, como se utiliza, cuál es su propósito dentro del desarrollo de compiladores. </w:t>
      </w:r>
    </w:p>
    <w:p w:rsidR="00000000" w:rsidDel="00000000" w:rsidP="00000000" w:rsidRDefault="00000000" w:rsidRPr="00000000" w14:paraId="00000011">
      <w:pPr>
        <w:rPr/>
      </w:pPr>
      <w:r w:rsidDel="00000000" w:rsidR="00000000" w:rsidRPr="00000000">
        <w:rPr>
          <w:rtl w:val="0"/>
        </w:rPr>
        <w:t xml:space="preserve">A continuación, se debe llevar a cabo la descarga e instalación de la herramienta en el entorno local de trabajo. Es obligatorio verificar que el sistema tenga Python correctamente instalado. Se debe documentar el proceso de instalación, incluyendo cada paso ejecutado con capturas de pantalla que respalden el procedimiento.</w:t>
      </w:r>
    </w:p>
    <w:p w:rsidR="00000000" w:rsidDel="00000000" w:rsidP="00000000" w:rsidRDefault="00000000" w:rsidRPr="00000000" w14:paraId="00000012">
      <w:pPr>
        <w:rPr/>
      </w:pPr>
      <w:r w:rsidDel="00000000" w:rsidR="00000000" w:rsidRPr="00000000">
        <w:rPr>
          <w:rtl w:val="0"/>
        </w:rPr>
        <w:t xml:space="preserve">Una vez completada la instalación, es necesario validar el funcionamiento de PLY mediante el desarrollo de un ejemplo práctico sencillo. Para ello, se debe diseñar un lenguaje propio sencillo que contenga al menos uno o dos tipos de tokens definidos (por ejemplo palabra reservada como “imprimir”, identificadores, números) y una gramática básica que incluya un mínimo de dos reglas sintácticas. A partir de este lenguaje, se debe construir un archivo .ply. Este archivo debe compilarse correctamente y generar una salida que permita verificar su funcionamiento.</w:t>
      </w:r>
    </w:p>
    <w:p w:rsidR="00000000" w:rsidDel="00000000" w:rsidP="00000000" w:rsidRDefault="00000000" w:rsidRPr="00000000" w14:paraId="00000013">
      <w:pPr>
        <w:rPr/>
      </w:pPr>
      <w:r w:rsidDel="00000000" w:rsidR="00000000" w:rsidRPr="00000000">
        <w:rPr>
          <w:rtl w:val="0"/>
        </w:rPr>
        <w:t xml:space="preserve">Toda la documentación, desde la investigación inicial hasta la prueba del lenguaje creado, debe integrarse de forma clara en un solo archivo PDF o en un repositorio con su Documentación en Formato Markdown.</w:t>
      </w:r>
      <w:r w:rsidDel="00000000" w:rsidR="00000000" w:rsidRPr="00000000">
        <w:rPr>
          <w:rtl w:val="0"/>
        </w:rPr>
      </w:r>
    </w:p>
    <w:p w:rsidR="00000000" w:rsidDel="00000000" w:rsidP="00000000" w:rsidRDefault="00000000" w:rsidRPr="00000000" w14:paraId="00000014">
      <w:pPr>
        <w:pStyle w:val="Heading1"/>
        <w:rPr/>
      </w:pPr>
      <w:bookmarkStart w:colFirst="0" w:colLast="0" w:name="_s94tsqda8r1d" w:id="4"/>
      <w:bookmarkEnd w:id="4"/>
      <w:r w:rsidDel="00000000" w:rsidR="00000000" w:rsidRPr="00000000">
        <w:rPr>
          <w:rtl w:val="0"/>
        </w:rPr>
        <w:t xml:space="preserve">Recursos Adicionales</w:t>
      </w:r>
    </w:p>
    <w:p w:rsidR="00000000" w:rsidDel="00000000" w:rsidP="00000000" w:rsidRDefault="00000000" w:rsidRPr="00000000" w14:paraId="00000015">
      <w:pPr>
        <w:numPr>
          <w:ilvl w:val="0"/>
          <w:numId w:val="1"/>
        </w:numPr>
        <w:ind w:left="720" w:hanging="360"/>
        <w:rPr>
          <w:rFonts w:ascii="Noto Sans Symbols" w:cs="Noto Sans Symbols" w:eastAsia="Noto Sans Symbols" w:hAnsi="Noto Sans Symbols"/>
          <w:color w:val="000000"/>
          <w:sz w:val="22"/>
          <w:szCs w:val="22"/>
        </w:rPr>
      </w:pPr>
      <w:hyperlink r:id="rId8">
        <w:r w:rsidDel="00000000" w:rsidR="00000000" w:rsidRPr="00000000">
          <w:rPr>
            <w:color w:val="1155cc"/>
            <w:u w:val="single"/>
            <w:rtl w:val="0"/>
          </w:rPr>
          <w:t xml:space="preserve">Documentación 1</w:t>
        </w:r>
      </w:hyperlink>
      <w:r w:rsidDel="00000000" w:rsidR="00000000" w:rsidRPr="00000000">
        <w:rPr>
          <w:rtl w:val="0"/>
        </w:rPr>
      </w:r>
    </w:p>
    <w:p w:rsidR="00000000" w:rsidDel="00000000" w:rsidP="00000000" w:rsidRDefault="00000000" w:rsidRPr="00000000" w14:paraId="00000016">
      <w:pPr>
        <w:numPr>
          <w:ilvl w:val="0"/>
          <w:numId w:val="1"/>
        </w:numPr>
        <w:spacing w:before="0" w:lineRule="auto"/>
        <w:ind w:left="720" w:hanging="360"/>
        <w:rPr>
          <w:rFonts w:ascii="Noto Sans Symbols" w:cs="Noto Sans Symbols" w:eastAsia="Noto Sans Symbols" w:hAnsi="Noto Sans Symbols"/>
          <w:color w:val="000000"/>
          <w:sz w:val="22"/>
          <w:szCs w:val="22"/>
        </w:rPr>
      </w:pPr>
      <w:hyperlink r:id="rId9">
        <w:r w:rsidDel="00000000" w:rsidR="00000000" w:rsidRPr="00000000">
          <w:rPr>
            <w:color w:val="1155cc"/>
            <w:u w:val="single"/>
            <w:rtl w:val="0"/>
          </w:rPr>
          <w:t xml:space="preserve">Documentación 2</w:t>
        </w:r>
      </w:hyperlink>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5"/>
      <w:bookmarkEnd w:id="5"/>
      <w:r w:rsidDel="00000000" w:rsidR="00000000" w:rsidRPr="00000000">
        <w:rPr>
          <w:rtl w:val="0"/>
        </w:rPr>
        <w:t xml:space="preserve">Forma de entrega</w:t>
      </w:r>
    </w:p>
    <w:p w:rsidR="00000000" w:rsidDel="00000000" w:rsidP="00000000" w:rsidRDefault="00000000" w:rsidRPr="00000000" w14:paraId="00000018">
      <w:pPr>
        <w:rPr/>
      </w:pPr>
      <w:r w:rsidDel="00000000" w:rsidR="00000000" w:rsidRPr="00000000">
        <w:rPr>
          <w:rtl w:val="0"/>
        </w:rPr>
        <w:t xml:space="preserve">El trabajo deberá entregarse en un único archivo en formato </w:t>
      </w:r>
      <w:r w:rsidDel="00000000" w:rsidR="00000000" w:rsidRPr="00000000">
        <w:rPr>
          <w:b w:val="1"/>
          <w:bCs w:val="1"/>
          <w:rtl w:val="0"/>
        </w:rPr>
        <w:t xml:space="preserve">PDF o MarkDown</w:t>
      </w:r>
      <w:r w:rsidDel="00000000" w:rsidR="00000000" w:rsidRPr="00000000">
        <w:rPr>
          <w:rtl w:val="0"/>
        </w:rPr>
        <w:t xml:space="preserve">, que incluya:</w:t>
      </w:r>
    </w:p>
    <w:p w:rsidR="00000000" w:rsidDel="00000000" w:rsidP="00000000" w:rsidRDefault="00000000" w:rsidRPr="00000000" w14:paraId="00000019">
      <w:pPr>
        <w:numPr>
          <w:ilvl w:val="0"/>
          <w:numId w:val="2"/>
        </w:numPr>
        <w:ind w:left="720" w:hanging="360"/>
        <w:rPr>
          <w:rFonts w:ascii="Noto Sans Symbols" w:cs="Noto Sans Symbols" w:eastAsia="Noto Sans Symbols" w:hAnsi="Noto Sans Symbols"/>
          <w:color w:val="000000"/>
          <w:sz w:val="22"/>
          <w:szCs w:val="22"/>
        </w:rPr>
      </w:pPr>
      <w:r w:rsidDel="00000000" w:rsidR="00000000" w:rsidRPr="00000000">
        <w:rPr>
          <w:rtl w:val="0"/>
        </w:rPr>
        <w:t xml:space="preserve">La investigación teórica sobre la herramienta.</w:t>
      </w:r>
    </w:p>
    <w:p w:rsidR="00000000" w:rsidDel="00000000" w:rsidP="00000000" w:rsidRDefault="00000000" w:rsidRPr="00000000" w14:paraId="0000001A">
      <w:pPr>
        <w:numPr>
          <w:ilvl w:val="0"/>
          <w:numId w:val="2"/>
        </w:numPr>
        <w:spacing w:before="0" w:lineRule="auto"/>
        <w:ind w:left="720" w:hanging="360"/>
        <w:rPr>
          <w:rFonts w:ascii="Noto Sans Symbols" w:cs="Noto Sans Symbols" w:eastAsia="Noto Sans Symbols" w:hAnsi="Noto Sans Symbols"/>
          <w:color w:val="000000"/>
          <w:sz w:val="22"/>
          <w:szCs w:val="22"/>
        </w:rPr>
      </w:pPr>
      <w:r w:rsidDel="00000000" w:rsidR="00000000" w:rsidRPr="00000000">
        <w:rPr>
          <w:rtl w:val="0"/>
        </w:rPr>
        <w:t xml:space="preserve">La documentación del proceso de instalación, con capturas de pantalla.</w:t>
      </w:r>
    </w:p>
    <w:p w:rsidR="00000000" w:rsidDel="00000000" w:rsidP="00000000" w:rsidRDefault="00000000" w:rsidRPr="00000000" w14:paraId="0000001B">
      <w:pPr>
        <w:numPr>
          <w:ilvl w:val="0"/>
          <w:numId w:val="2"/>
        </w:numPr>
        <w:spacing w:before="0" w:lineRule="auto"/>
        <w:ind w:left="720" w:hanging="360"/>
        <w:rPr>
          <w:rFonts w:ascii="Noto Sans Symbols" w:cs="Noto Sans Symbols" w:eastAsia="Noto Sans Symbols" w:hAnsi="Noto Sans Symbols"/>
          <w:color w:val="000000"/>
          <w:sz w:val="22"/>
          <w:szCs w:val="22"/>
        </w:rPr>
      </w:pPr>
      <w:r w:rsidDel="00000000" w:rsidR="00000000" w:rsidRPr="00000000">
        <w:rPr>
          <w:rtl w:val="0"/>
        </w:rPr>
        <w:t xml:space="preserve">La definición breve del lenguaje propio (tokens y reglas sintácticas).</w:t>
      </w:r>
    </w:p>
    <w:p w:rsidR="00000000" w:rsidDel="00000000" w:rsidP="00000000" w:rsidRDefault="00000000" w:rsidRPr="00000000" w14:paraId="0000001C">
      <w:pPr>
        <w:numPr>
          <w:ilvl w:val="0"/>
          <w:numId w:val="2"/>
        </w:numPr>
        <w:spacing w:before="0" w:lineRule="auto"/>
        <w:ind w:left="720" w:hanging="360"/>
        <w:rPr>
          <w:rFonts w:ascii="Noto Sans Symbols" w:cs="Noto Sans Symbols" w:eastAsia="Noto Sans Symbols" w:hAnsi="Noto Sans Symbols"/>
          <w:color w:val="000000"/>
          <w:sz w:val="22"/>
          <w:szCs w:val="22"/>
        </w:rPr>
      </w:pPr>
      <w:r w:rsidDel="00000000" w:rsidR="00000000" w:rsidRPr="00000000">
        <w:rPr>
          <w:rtl w:val="0"/>
        </w:rPr>
        <w:t xml:space="preserve">Algo del código fuente del archivo. </w:t>
      </w:r>
    </w:p>
    <w:p w:rsidR="00000000" w:rsidDel="00000000" w:rsidP="00000000" w:rsidRDefault="00000000" w:rsidRPr="00000000" w14:paraId="0000001D">
      <w:pPr>
        <w:numPr>
          <w:ilvl w:val="0"/>
          <w:numId w:val="2"/>
        </w:numPr>
        <w:spacing w:before="0" w:lineRule="auto"/>
        <w:ind w:left="720" w:hanging="360"/>
        <w:rPr>
          <w:rFonts w:ascii="Noto Sans Symbols" w:cs="Noto Sans Symbols" w:eastAsia="Noto Sans Symbols" w:hAnsi="Noto Sans Symbols"/>
          <w:color w:val="000000"/>
          <w:sz w:val="22"/>
          <w:szCs w:val="22"/>
        </w:rPr>
      </w:pPr>
      <w:r w:rsidDel="00000000" w:rsidR="00000000" w:rsidRPr="00000000">
        <w:rPr>
          <w:rtl w:val="0"/>
        </w:rPr>
        <w:t xml:space="preserve">Evidencia de la ejecución correcta del analizador.</w:t>
      </w:r>
      <w:r w:rsidDel="00000000" w:rsidR="00000000" w:rsidRPr="00000000">
        <w:rPr>
          <w:rtl w:val="0"/>
        </w:rPr>
      </w:r>
    </w:p>
    <w:p w:rsidR="00000000" w:rsidDel="00000000" w:rsidP="00000000" w:rsidRDefault="00000000" w:rsidRPr="00000000" w14:paraId="0000001E">
      <w:pPr>
        <w:pStyle w:val="Heading1"/>
        <w:rPr/>
      </w:pPr>
      <w:bookmarkStart w:colFirst="0" w:colLast="0" w:name="_z4elditt87no" w:id="6"/>
      <w:bookmarkEnd w:id="6"/>
      <w:r w:rsidDel="00000000" w:rsidR="00000000" w:rsidRPr="00000000">
        <w:rPr>
          <w:rtl w:val="0"/>
        </w:rPr>
        <w:t xml:space="preserve">Fecha de entrega</w:t>
      </w:r>
    </w:p>
    <w:p w:rsidR="00000000" w:rsidDel="00000000" w:rsidP="00000000" w:rsidRDefault="00000000" w:rsidRPr="00000000" w14:paraId="0000001F">
      <w:pPr>
        <w:rPr>
          <w:color w:val="666666"/>
        </w:rPr>
      </w:pPr>
      <w:r w:rsidDel="00000000" w:rsidR="00000000" w:rsidRPr="00000000">
        <w:rPr>
          <w:color w:val="666666"/>
          <w:rtl w:val="0"/>
        </w:rPr>
        <w:t xml:space="preserve">Octubre 5 del 2025</w:t>
      </w:r>
    </w:p>
    <w:p w:rsidR="00000000" w:rsidDel="00000000" w:rsidP="00000000" w:rsidRDefault="00000000" w:rsidRPr="00000000" w14:paraId="00000020">
      <w:pPr>
        <w:rPr>
          <w:color w:val="666666"/>
        </w:rPr>
      </w:pPr>
      <w:r w:rsidDel="00000000" w:rsidR="00000000" w:rsidRPr="00000000">
        <w:rPr>
          <w:rtl w:val="0"/>
        </w:rPr>
      </w:r>
    </w:p>
    <w:p w:rsidR="00000000" w:rsidDel="00000000" w:rsidP="00000000" w:rsidRDefault="00000000" w:rsidRPr="00000000" w14:paraId="00000021">
      <w:pPr>
        <w:rPr>
          <w:color w:val="666666"/>
        </w:rPr>
      </w:pP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rtl w:val="0"/>
        </w:rPr>
      </w:r>
    </w:p>
    <w:p w:rsidR="00000000" w:rsidDel="00000000" w:rsidP="00000000" w:rsidRDefault="00000000" w:rsidRPr="00000000" w14:paraId="00000023">
      <w:pPr>
        <w:pStyle w:val="Heading1"/>
        <w:rPr/>
      </w:pPr>
      <w:bookmarkStart w:colFirst="0" w:colLast="0" w:name="_8zzin911mwf0" w:id="7"/>
      <w:bookmarkEnd w:id="7"/>
      <w:r w:rsidDel="00000000" w:rsidR="00000000" w:rsidRPr="00000000">
        <w:rPr>
          <w:rtl w:val="0"/>
        </w:rPr>
        <w:t xml:space="preserve">Rúbrica de Calificación</w:t>
      </w:r>
    </w:p>
    <w:p w:rsidR="00000000" w:rsidDel="00000000" w:rsidP="00000000" w:rsidRDefault="00000000" w:rsidRPr="00000000" w14:paraId="00000024">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5">
      <w:pPr>
        <w:spacing w:before="0" w:line="276" w:lineRule="auto"/>
        <w:rPr>
          <w:rFonts w:ascii="Arial" w:cs="Arial" w:eastAsia="Arial" w:hAnsi="Arial"/>
        </w:rPr>
      </w:pPr>
      <w:r w:rsidDel="00000000" w:rsidR="00000000" w:rsidRPr="00000000">
        <w:rPr>
          <w:rtl w:val="0"/>
        </w:rPr>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650"/>
        <w:gridCol w:w="1620"/>
        <w:tblGridChange w:id="0">
          <w:tblGrid>
            <w:gridCol w:w="2850"/>
            <w:gridCol w:w="4650"/>
            <w:gridCol w:w="16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before="0" w:line="276" w:lineRule="auto"/>
              <w:jc w:val="both"/>
              <w:rPr>
                <w:rFonts w:ascii="Arial" w:cs="Arial" w:eastAsia="Arial" w:hAnsi="Arial"/>
              </w:rPr>
            </w:pPr>
            <w:r w:rsidDel="00000000" w:rsidR="00000000" w:rsidRPr="00000000">
              <w:rPr>
                <w:rFonts w:ascii="Arial" w:cs="Arial" w:eastAsia="Arial" w:hAnsi="Arial"/>
                <w:rtl w:val="0"/>
              </w:rPr>
              <w:t xml:space="preserve">Investigación teórica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Expone de forma clara, técnica y concisa qué son JFlex y CUP, su propósito y su relación dentro del proceso de compilación.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Documentación de instalación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Detalla correctamente los pasos seguidos durante la instalación de ambas herramientas. Incluye configuraciones relevantes y capturas de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Diseño del lenguaje propio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Define adecuadamente un lenguaje sencillo con tokens personalizados y una gramática básica con al menos dos reglas sintácticas.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before="0" w:line="276" w:lineRule="auto"/>
              <w:jc w:val="both"/>
              <w:rPr>
                <w:rFonts w:ascii="Arial" w:cs="Arial" w:eastAsia="Arial" w:hAnsi="Arial"/>
              </w:rPr>
            </w:pPr>
            <w:r w:rsidDel="00000000" w:rsidR="00000000" w:rsidRPr="00000000">
              <w:rPr>
                <w:rFonts w:ascii="Arial" w:cs="Arial" w:eastAsia="Arial" w:hAnsi="Arial"/>
                <w:rtl w:val="0"/>
              </w:rPr>
              <w:t xml:space="preserve">Implementación del analizador léxico (PLY)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spacing w:before="0" w:line="276" w:lineRule="auto"/>
              <w:jc w:val="both"/>
              <w:rPr>
                <w:rFonts w:ascii="Arial" w:cs="Arial" w:eastAsia="Arial" w:hAnsi="Arial"/>
              </w:rPr>
            </w:pPr>
            <w:r w:rsidDel="00000000" w:rsidR="00000000" w:rsidRPr="00000000">
              <w:rPr>
                <w:rFonts w:ascii="Arial" w:cs="Arial" w:eastAsia="Arial" w:hAnsi="Arial"/>
                <w:rtl w:val="0"/>
              </w:rPr>
              <w:t xml:space="preserve">Presenta un archivo .ply funcional, coherente con el diseño del lenguaje, y sin errores de compilación.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before="0" w:line="276" w:lineRule="auto"/>
              <w:jc w:val="both"/>
              <w:rPr>
                <w:rFonts w:ascii="Arial" w:cs="Arial" w:eastAsia="Arial" w:hAnsi="Arial"/>
              </w:rPr>
            </w:pPr>
            <w:r w:rsidDel="00000000" w:rsidR="00000000" w:rsidRPr="00000000">
              <w:rPr>
                <w:rFonts w:ascii="Arial" w:cs="Arial" w:eastAsia="Arial" w:hAnsi="Arial"/>
                <w:rtl w:val="0"/>
              </w:rPr>
              <w:t xml:space="preserve">Implementación del analizador sintáctico (PLY)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Presenta un archivo .cup funcional, adecuado a las reglas definidas, y sin errores de compilación.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8">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Ejecución y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spacing w:before="0" w:line="276" w:lineRule="auto"/>
              <w:jc w:val="both"/>
              <w:rPr>
                <w:rFonts w:ascii="Arial" w:cs="Arial" w:eastAsia="Arial" w:hAnsi="Arial"/>
              </w:rPr>
            </w:pPr>
            <w:r w:rsidDel="00000000" w:rsidR="00000000" w:rsidRPr="00000000">
              <w:rPr>
                <w:rFonts w:ascii="Arial" w:cs="Arial" w:eastAsia="Arial" w:hAnsi="Arial"/>
                <w:rtl w:val="0"/>
              </w:rPr>
              <w:t xml:space="preserve">Incluye una ejecución exitosa del analizador construido, con salidas correctas y capturas que respalden el funcionamiento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spacing w:before="0" w:line="276" w:lineRule="auto"/>
              <w:jc w:val="both"/>
              <w:rPr>
                <w:rFonts w:ascii="Arial" w:cs="Arial" w:eastAsia="Arial" w:hAnsi="Arial"/>
              </w:rPr>
            </w:pPr>
            <w:r w:rsidDel="00000000" w:rsidR="00000000" w:rsidRPr="00000000">
              <w:rPr>
                <w:rFonts w:ascii="Arial" w:cs="Arial" w:eastAsia="Arial" w:hAnsi="Arial"/>
                <w:rtl w:val="0"/>
              </w:rPr>
              <w:t xml:space="preserve">Presentación y formato del informe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informe está bien organizado, redactado con lenguaje técnico, entregado en formato PDF o MarkDown y contiene todos los elementos solicitados.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bl>
    <w:p w:rsidR="00000000" w:rsidDel="00000000" w:rsidP="00000000" w:rsidRDefault="00000000" w:rsidRPr="00000000" w14:paraId="0000003E">
      <w:pPr>
        <w:spacing w:before="0" w:line="276" w:lineRule="auto"/>
        <w:rPr>
          <w:color w:val="666666"/>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Valores</w:t>
      </w:r>
    </w:p>
    <w:p w:rsidR="00000000" w:rsidDel="00000000" w:rsidP="00000000" w:rsidRDefault="00000000" w:rsidRPr="00000000" w14:paraId="00000040">
      <w:pPr>
        <w:numPr>
          <w:ilvl w:val="0"/>
          <w:numId w:val="3"/>
        </w:numPr>
        <w:ind w:left="720" w:hanging="360"/>
        <w:rPr>
          <w:rFonts w:ascii="Noto Sans Symbols" w:cs="Noto Sans Symbols" w:eastAsia="Noto Sans Symbols" w:hAnsi="Noto Sans Symbols"/>
        </w:rPr>
      </w:pPr>
      <w:r w:rsidDel="00000000" w:rsidR="00000000" w:rsidRPr="00000000">
        <w:rPr>
          <w:b w:val="1"/>
          <w:bCs w:val="1"/>
          <w:rtl w:val="0"/>
        </w:rPr>
        <w:t xml:space="preserve">Responsabilidad:</w:t>
      </w:r>
      <w:r w:rsidDel="00000000" w:rsidR="00000000" w:rsidRPr="00000000">
        <w:rPr>
          <w:rtl w:val="0"/>
        </w:rPr>
        <w:t xml:space="preserve"> Se promueve el compromiso con la correcta planificación, ejecución y entrega de la tarea, asegurando el cumplimiento de los objetivos establecidos.</w:t>
      </w:r>
    </w:p>
    <w:p w:rsidR="00000000" w:rsidDel="00000000" w:rsidP="00000000" w:rsidRDefault="00000000" w:rsidRPr="00000000" w14:paraId="00000041">
      <w:pPr>
        <w:numPr>
          <w:ilvl w:val="0"/>
          <w:numId w:val="3"/>
        </w:numPr>
        <w:spacing w:before="0" w:lineRule="auto"/>
        <w:ind w:left="720" w:hanging="360"/>
        <w:rPr>
          <w:rFonts w:ascii="Noto Sans Symbols" w:cs="Noto Sans Symbols" w:eastAsia="Noto Sans Symbols" w:hAnsi="Noto Sans Symbols"/>
        </w:rPr>
      </w:pPr>
      <w:r w:rsidDel="00000000" w:rsidR="00000000" w:rsidRPr="00000000">
        <w:rPr>
          <w:b w:val="1"/>
          <w:bCs w:val="1"/>
          <w:rtl w:val="0"/>
        </w:rPr>
        <w:t xml:space="preserve">Autonomía en el aprendizaje:</w:t>
      </w:r>
      <w:r w:rsidDel="00000000" w:rsidR="00000000" w:rsidRPr="00000000">
        <w:rPr>
          <w:rtl w:val="0"/>
        </w:rPr>
        <w:t xml:space="preserve"> Se incentiva la capacidad de búsqueda, análisis y aplicación de documentación técnica confiable para resolver de forma independiente los desafíos que plantea la instalación y uso de las herramientas.</w:t>
      </w:r>
    </w:p>
    <w:p w:rsidR="00000000" w:rsidDel="00000000" w:rsidP="00000000" w:rsidRDefault="00000000" w:rsidRPr="00000000" w14:paraId="00000042">
      <w:pPr>
        <w:numPr>
          <w:ilvl w:val="0"/>
          <w:numId w:val="3"/>
        </w:numPr>
        <w:spacing w:before="0" w:lineRule="auto"/>
        <w:ind w:left="720" w:hanging="360"/>
        <w:rPr>
          <w:rFonts w:ascii="Noto Sans Symbols" w:cs="Noto Sans Symbols" w:eastAsia="Noto Sans Symbols" w:hAnsi="Noto Sans Symbols"/>
        </w:rPr>
      </w:pPr>
      <w:r w:rsidDel="00000000" w:rsidR="00000000" w:rsidRPr="00000000">
        <w:rPr>
          <w:b w:val="1"/>
          <w:bCs w:val="1"/>
          <w:rtl w:val="0"/>
        </w:rPr>
        <w:t xml:space="preserve">Creatividad y abstracción:</w:t>
      </w:r>
      <w:r w:rsidDel="00000000" w:rsidR="00000000" w:rsidRPr="00000000">
        <w:rPr>
          <w:rtl w:val="0"/>
        </w:rPr>
        <w:t xml:space="preserve"> Se estimula el pensamiento creativo al diseñar un lenguaje propio funcional, aplicando estructuras léxicas y sintácticas simples para comprender los fundamentos del análisis de lenguajes.</w:t>
      </w:r>
      <w:r w:rsidDel="00000000" w:rsidR="00000000" w:rsidRPr="00000000">
        <w:rPr>
          <w:rtl w:val="0"/>
        </w:rPr>
      </w:r>
    </w:p>
    <w:p w:rsidR="00000000" w:rsidDel="00000000" w:rsidP="00000000" w:rsidRDefault="00000000" w:rsidRPr="00000000" w14:paraId="00000043">
      <w:pPr>
        <w:rPr>
          <w:color w:val="666666"/>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8" name="image2.png"/>
            <a:graphic>
              <a:graphicData uri="http://schemas.openxmlformats.org/drawingml/2006/picture">
                <pic:pic>
                  <pic:nvPicPr>
                    <pic:cNvPr descr="guion corto" id="0" name="image2.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Organización de Lenguajes y Compiladores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y.readthedocs.io/en/lates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ply.readthedocs.io/en/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