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635</wp:posOffset>
            </wp:positionV>
            <wp:extent cx="4838700" cy="506095"/>
            <wp:effectExtent b="0" l="0" r="0" t="0"/>
            <wp:wrapTopAndBottom distB="0" distT="0"/>
            <wp:docPr descr="C:\Users\Johatan\AppData\Local\Temp\Rar$DIa0.944\top-image.png" id="5" name="image3.png"/>
            <a:graphic>
              <a:graphicData uri="http://schemas.openxmlformats.org/drawingml/2006/picture">
                <pic:pic>
                  <pic:nvPicPr>
                    <pic:cNvPr descr="C:\Users\Johatan\AppData\Local\Temp\Rar$DIa0.944\top-image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Área de Conocimiento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Demostración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roxima Nova" w:cs="Proxima Nova" w:eastAsia="Proxima Nova" w:hAnsi="Proxima Nova"/>
          <w:color w:val="aeaaaa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aeaaaa"/>
          <w:sz w:val="52"/>
          <w:szCs w:val="52"/>
          <w:rtl w:val="0"/>
        </w:rPr>
        <w:t xml:space="preserve">Direcciones IP y Subnetting (FLSM y VLSM)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7675" cy="57150"/>
            <wp:effectExtent b="0" l="0" r="0" t="0"/>
            <wp:docPr descr="línea corta" id="7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19710" cy="21971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40"/>
          <w:szCs w:val="40"/>
          <w:rtl w:val="0"/>
        </w:rPr>
        <w:t xml:space="preserve">Tiempo estimado:  17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00" w:lin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70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1. 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720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0" w:before="20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0" w:before="20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Pensamiento Lógico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aplicar reglas y secuencias claras en el cálculo de direcciones IP, máscaras y subredes, facilitando decisiones correctas en el subneteo fijo y variable. Se aplica al resolver ejercicios, optimizar recursos y validar configuraciones en laboratorio mediante pruebas de conectividad.</w:t>
            </w:r>
          </w:p>
        </w:tc>
      </w:tr>
    </w:tbl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</w:rPr>
      </w:pPr>
      <w:bookmarkStart w:colFirst="0" w:colLast="0" w:name="_vwjv8rtnvz4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bookmarkStart w:colFirst="0" w:colLast="0" w:name="_ubfpu432uprc" w:id="1"/>
      <w:bookmarkEnd w:id="1"/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1.2.</w:t>
        <w:tab/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aplica los principios de cableado estructurado utilizando normas y estándares internacionales para configurar dispositivos de capa 2 y 3 siguiendo los protocolos y conceptos generales de redes para asegurar una infraestructura eficiente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aplica estrategias de subneteo fijo y variable mediante cálculos de rangos y asignación eficiente en direcciones IP para optimizar la cantidad de IP disponibles en la red</w:t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bookmarkStart w:colFirst="0" w:colLast="0" w:name="_61t780fik7zz" w:id="2"/>
      <w:bookmarkEnd w:id="2"/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bf9000"/>
          <w:sz w:val="28"/>
          <w:szCs w:val="28"/>
          <w:u w:val="none"/>
          <w:shd w:fill="auto" w:val="clear"/>
          <w:vertAlign w:val="baseline"/>
          <w:rtl w:val="0"/>
        </w:rPr>
        <w:t xml:space="preserve">1.3.</w:t>
        <w:tab/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Ind w:w="-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4"/>
        <w:gridCol w:w="2634"/>
        <w:gridCol w:w="4600"/>
        <w:tblGridChange w:id="0">
          <w:tblGrid>
            <w:gridCol w:w="1594"/>
            <w:gridCol w:w="2634"/>
            <w:gridCol w:w="4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Aplicar técnicas de subneteo FLSM y VLSM para dividir una red en subredes más pequeñas y asignar direcciones IP según la necesidad de cada segmento.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0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8">
                  <w:pPr>
                    <w:spacing w:after="160" w:before="0" w:lineRule="auto"/>
                    <w:rPr>
                      <w:rFonts w:ascii="Proxima Nova" w:cs="Proxima Nova" w:eastAsia="Proxima Nova" w:hAnsi="Proxima Nova"/>
                      <w:color w:val="b7b7b7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313.0" w:type="dxa"/>
              <w:jc w:val="left"/>
              <w:tblLayout w:type="fixed"/>
              <w:tblLook w:val="0000"/>
            </w:tblPr>
            <w:tblGrid>
              <w:gridCol w:w="4313"/>
              <w:tblGridChange w:id="0">
                <w:tblGrid>
                  <w:gridCol w:w="43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after="160" w:before="0" w:lineRule="auto"/>
                    <w:rPr>
                      <w:rFonts w:ascii="Proxima Nova" w:cs="Proxima Nova" w:eastAsia="Proxima Nova" w:hAnsi="Proxima Nova"/>
                      <w:color w:val="b7b7b7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Proxima Nova" w:cs="Proxima Nova" w:eastAsia="Proxima Nova" w:hAnsi="Proxima Nova"/>
                      <w:color w:val="b7b7b7"/>
                      <w:sz w:val="20"/>
                      <w:szCs w:val="20"/>
                      <w:rtl w:val="0"/>
                    </w:rPr>
                    <w:t xml:space="preserve">Calcular correctamente al menos el 90% de las subredes y rangos IP requeridos en la práctica.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Utilizando calculadoras de subneteo, Packet Tracer y los conceptos explicados en clase.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0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2">
                  <w:pPr>
                    <w:spacing w:after="160" w:before="0" w:lineRule="auto"/>
                    <w:rPr>
                      <w:rFonts w:ascii="Proxima Nova" w:cs="Proxima Nova" w:eastAsia="Proxima Nova" w:hAnsi="Proxima Nova"/>
                      <w:color w:val="b7b7b7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400.0" w:type="dxa"/>
              <w:jc w:val="left"/>
              <w:tblLayout w:type="fixed"/>
              <w:tblLook w:val="0000"/>
            </w:tblPr>
            <w:tblGrid>
              <w:gridCol w:w="4400"/>
              <w:tblGridChange w:id="0">
                <w:tblGrid>
                  <w:gridCol w:w="4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44">
                  <w:pPr>
                    <w:spacing w:after="160" w:before="0" w:lineRule="auto"/>
                    <w:rPr>
                      <w:rFonts w:ascii="Proxima Nova" w:cs="Proxima Nova" w:eastAsia="Proxima Nova" w:hAnsi="Proxima Nova"/>
                      <w:color w:val="b7b7b7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Proxima Nova" w:cs="Proxima Nova" w:eastAsia="Proxima Nova" w:hAnsi="Proxima Nova"/>
                      <w:color w:val="b7b7b7"/>
                      <w:sz w:val="20"/>
                      <w:szCs w:val="20"/>
                      <w:rtl w:val="0"/>
                    </w:rPr>
                    <w:t xml:space="preserve">Desarrollar habilidades de diseño lógico de redes que permitan implementar direccionamientos escalables y eficientes.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Completar el ejercicio durante la sesión de laboratorio de la semana 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2. Herramientas o recursos utilizados en el ejemplo práctico: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Packet Tracer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Calculadora de subredes online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 “Clase 06 – Semana 7 – Direcciones IP y Subnetting”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3.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 “Clase 06 – Semana 7 – Direcciones IP y Subnetting”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4.  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objetivo del ejercicio es diseñar un esquema de direccionamiento IP eficiente para una red de laboratorio simulada en Cisco Packet Tracer, aplicando subneteo fijo (FLSM) y variable (VLSM).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red principal tiene la dirección 192.168.10.0/24, y debe dividirse entre los siguientes departamentos del edificio:</w:t>
      </w:r>
    </w:p>
    <w:tbl>
      <w:tblPr>
        <w:tblStyle w:val="Table8"/>
        <w:tblW w:w="4881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1"/>
        <w:gridCol w:w="3120"/>
        <w:tblGridChange w:id="0">
          <w:tblGrid>
            <w:gridCol w:w="1761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1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1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Número de hosts requeridos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1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1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1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1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1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1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1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1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estudiante debe calcular: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La cantidad de subredes necesarias.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Las máscaras de subred correctas.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El rango de direcciones disponibles para cada segmento.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La dirección de broadcast de cada subred.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diseño debe ser representado visualmente en Packet Tracer, conectando los dispositivos correspondientes con sus direcciones IP asignadas (no requiere configuración de protocolos).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5. Procedimiento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Identificación de necesidades: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Analizar el número de hosts requeridos por cada área.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Ordenar las subredes de mayor a menor cantidad de hosts.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Subneteo con FLSM: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Dividir la red 192.168.10.0/24 en subredes iguales con una máscara /26.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Verificar que cada subred soporte 62 hosts disponibles.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Asignar una subred por departamento.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Subneteo con VLSM: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Aplicar máscaras variables para aprovechar mejor las direcciones IP.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Asignar /26 a Administración, /27 a Soporte técnico, /28 a Ventas y /29 a Servidores.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Representación en Packet Tracer: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Crear un esquema lógico con routers y switches conectando cada subred.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Etiquetar las interfaces con sus respectivas direcciones IP (sin configurar comandos).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Representar visualmente las divisiones de red y el uso de máscaras.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Validación: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Revisar que los rangos de red no se superpongan.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Confirmar que las direcciones asignadas cumplan con las reglas del subneteo</w:t>
      </w:r>
    </w:p>
    <w:p w:rsidR="00000000" w:rsidDel="00000000" w:rsidP="00000000" w:rsidRDefault="00000000" w:rsidRPr="00000000" w14:paraId="00000079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6. Aconsejando al siguiente Tutor para la realización de ejemplos.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Dificultades encontradas: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Errores comunes al calcular el número de hosts y direcciones disponibles.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Dificultad para comprender la diferencia entre FLSM y VLSM.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Confusión entre dirección de red, primer host y broadcast.</w:t>
      </w:r>
    </w:p>
    <w:p w:rsidR="00000000" w:rsidDel="00000000" w:rsidP="00000000" w:rsidRDefault="00000000" w:rsidRPr="00000000" w14:paraId="0000007E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Reforzar los pasos lógicos del cálculo antes de usar herramientas automáticas.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Mostrar un ejemplo resuelto en el pizarrón antes de iniciar la simulación.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Aclarar que no se configurarán routers, solo el diseño y asignación de IPs.</w:t>
      </w:r>
    </w:p>
    <w:p w:rsidR="00000000" w:rsidDel="00000000" w:rsidP="00000000" w:rsidRDefault="00000000" w:rsidRPr="00000000" w14:paraId="00000082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Puntos de mayor dificultad para el estudiante: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Determinar correctamente las máscaras de subred.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Evitar solapamientos en los rangos de IP.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Relacionar los cálculos teóricos con la representación visual en Packet Tracer.</w:t>
      </w:r>
    </w:p>
    <w:p w:rsidR="00000000" w:rsidDel="00000000" w:rsidP="00000000" w:rsidRDefault="00000000" w:rsidRPr="00000000" w14:paraId="00000086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447675" cy="57150"/>
            <wp:effectExtent b="0" l="0" r="0" t="0"/>
            <wp:docPr descr="línea corta" id="8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widowControl w:val="1"/>
      <w:tabs>
        <w:tab w:val="center" w:leader="none" w:pos="4419"/>
        <w:tab w:val="right" w:leader="none" w:pos="8838"/>
      </w:tabs>
      <w:spacing w:after="0" w:before="1425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6311265</wp:posOffset>
          </wp:positionH>
          <wp:positionV relativeFrom="paragraph">
            <wp:posOffset>119380</wp:posOffset>
          </wp:positionV>
          <wp:extent cx="381000" cy="495300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200025</wp:posOffset>
          </wp:positionV>
          <wp:extent cx="7772400" cy="409575"/>
          <wp:effectExtent b="0" l="0" r="0" t="0"/>
          <wp:wrapTopAndBottom distB="0" distT="0"/>
          <wp:docPr descr="pie de página" id="9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widowControl w:val="1"/>
      <w:tabs>
        <w:tab w:val="center" w:leader="none" w:pos="4419"/>
        <w:tab w:val="right" w:leader="none" w:pos="8838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190500</wp:posOffset>
          </wp:positionV>
          <wp:extent cx="7772400" cy="409575"/>
          <wp:effectExtent b="0" l="0" r="0" t="0"/>
          <wp:wrapTopAndBottom distB="0" distT="0"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widowControl w:val="1"/>
      <w:tabs>
        <w:tab w:val="center" w:leader="none" w:pos="4419"/>
        <w:tab w:val="right" w:leader="none" w:pos="8838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-449579</wp:posOffset>
          </wp:positionV>
          <wp:extent cx="7772400" cy="57150"/>
          <wp:effectExtent b="0" l="0" r="0" t="0"/>
          <wp:wrapTopAndBottom distB="0" distT="0"/>
          <wp:docPr descr="pie de página" id="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widowControl w:val="1"/>
      <w:tabs>
        <w:tab w:val="center" w:leader="none" w:pos="4419"/>
        <w:tab w:val="right" w:leader="none" w:pos="8838"/>
      </w:tabs>
      <w:spacing w:after="0" w:before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-419733</wp:posOffset>
          </wp:positionV>
          <wp:extent cx="7772400" cy="57150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widowControl w:val="0"/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95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0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