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la pestaña "Definiciones" en SIMIO?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lugar para crear gráficos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sección para definir componentes y parámetros clave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editor de texto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son los "states" en SIMIO?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Variables que describen condiciones de objetos durante la simulación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tipo de gráfico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entidad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diferencia principal entre los estados reales e integer?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Los reales son más rápidos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Los reales tienen un Display Format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Los integer son más precisos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¿Para qué se utilizan los estados booleanos?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Para contar entidades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Para activar o desactivar servidores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Para medir tiempo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representa un estado Date Time?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valor numérico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fecha y hora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texto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hacer la pestaña "Processes" en SIMIO?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gráficos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Diseñar el flujo de actividades y eventos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Editar texto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el "Balking" en SIMIO?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propiedad de objetos servidor para procesar o no entidades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tipo de gráfico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método de simulación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sigue la llegada de órdenes en el ejemplo de la empresa de tornillos?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Normal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Poisson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Exponencial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¿Cuánto tiempo en promedio se tarda en empacar tornillos?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10 segundos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15 segundos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20 segundos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simular en el ejemplo de la empresa de tornillos?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mes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día entero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Una semana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