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Microeconomía: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Demanda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y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Explicar los factores que afectan la demanda y cómo se representan en la curva de la demanda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Calcular y analizar la elasticidad precio de la demanda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Aplicar conceptos microeconómicos en el análisis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30"/>
        <w:gridCol w:w="960"/>
        <w:gridCol w:w="960"/>
        <w:gridCol w:w="825"/>
        <w:gridCol w:w="660"/>
        <w:gridCol w:w="615"/>
        <w:gridCol w:w="690"/>
        <w:gridCol w:w="930"/>
        <w:gridCol w:w="720"/>
        <w:tblGridChange w:id="0">
          <w:tblGrid>
            <w:gridCol w:w="1455"/>
            <w:gridCol w:w="3630"/>
            <w:gridCol w:w="960"/>
            <w:gridCol w:w="960"/>
            <w:gridCol w:w="825"/>
            <w:gridCol w:w="660"/>
            <w:gridCol w:w="615"/>
            <w:gridCol w:w="690"/>
            <w:gridCol w:w="930"/>
            <w:gridCol w:w="7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Demanda individual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Demanda de mercado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ley de la demanda y su relación con los precios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y forma de la curva de demanda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Factores que desplazan la curva de demanda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Elasticidad precio de la demanda: definición, cálculo e interpretación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Inelasticidad precio demanda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dydxRA6b9DLW7ThUbRQruaTXWA==">CgMxLjA4AHIhMXd0VDNKRHB1ejM0Q2x1ekZhcmR5X1VQeHUxdG8taGQ0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