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¿Qué opción se introduce al modelo para manejar finanzas?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Cost Center Elements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Flow Library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Modelado 3D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puede configurar en la pestaña de Financials de un servidor?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Input Buffer y Output Buffer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tasa de flujo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El modelo 3D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hacer para cambiar el tipo de divisas en un modelo?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Ir a la pestaña RUN y seleccionar Opciones Avanzadas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Descargar un software adicional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Cambiar el modelo 3D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utiliza para manejar las finanzas de manera más sencilla?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Una variable en la pestaña de Definitions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gráfico de barras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modelo 3D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indica el Initial Cost Rate en un Cost Center?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costo inicial de la variable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tasa de flujo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capacidad del tanque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debe hacer para asignar un Cost Center a un servidor?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Seleccionar el servidor y abrir la pestaña de Financials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Crear un modelo 3D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Descargar un software adicional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