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una entidad en el contexto de modelación y simulación?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tipo de gráfico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elemento que se mueve a través del modelo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distribución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tarea en una secuencia se ejecuta todo el tiempo?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Conditional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Always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Probabilistic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regla de precedencia indica que tareas con el mismo número de secuencia raíz comienzan al mismo tiempo?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Regla 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Regla 3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Regla 4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se sugiere para modelar la tasa de servicio en el ejemplo de la agencia de aerolíneas?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Triangular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Normal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Exponencial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Rate Table?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Una tabla de secuencias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tabla que define tasas de llegada/evento que varían con el tiempo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gráfico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un Work Schedule en un modelo de simulación?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Cambiar la capacidad de recursos conforme al tiempo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Crear gráficos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Ajustar distribuciones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paciente en la clínica llega sin cita?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Rayos-X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Paciente sin cita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MRI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cola se utiliza para definir un orden de uso de un servidor?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FIFO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LIFO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Weighted Fair Queuing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gráfico muestra el valor de una expresión en un estilo de medidor circular?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Linear Gauge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Circular Gauge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Status Plot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lista se utiliza para definir una colección de nodos?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Lista de Cadenas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Lista de Objetos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Lista de Nodos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