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0" w:before="1440" w:line="240" w:lineRule="auto"/>
        <w:rPr>
          <w:rFonts w:ascii="Proxima Nova" w:cs="Proxima Nova" w:eastAsia="Proxima Nova" w:hAnsi="Proxima Nova"/>
          <w:b w:val="1"/>
          <w:bCs w:val="1"/>
          <w:color w:val="404040"/>
          <w:sz w:val="96"/>
          <w:szCs w:val="96"/>
        </w:rPr>
      </w:pPr>
      <w:bookmarkStart w:colFirst="0" w:colLast="0" w:name="_i8gqi94uygx" w:id="0"/>
      <w:bookmarkEnd w:id="0"/>
      <w:r w:rsidDel="00000000" w:rsidR="00000000" w:rsidRPr="00000000">
        <w:rPr>
          <w:rFonts w:ascii="Proxima Nova" w:cs="Proxima Nova" w:eastAsia="Proxima Nova" w:hAnsi="Proxima Nova"/>
          <w:color w:val="039be5"/>
          <w:sz w:val="72"/>
          <w:szCs w:val="72"/>
          <w:rtl w:val="0"/>
        </w:rPr>
        <w:t xml:space="preserve">Semana #3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404040"/>
          <w:sz w:val="96"/>
          <w:szCs w:val="96"/>
          <w:rtl w:val="0"/>
        </w:rPr>
        <w:br w:type="textWrapping"/>
        <w:t xml:space="preserve">Cuestionario</w:t>
      </w:r>
    </w:p>
    <w:p w:rsidR="00000000" w:rsidDel="00000000" w:rsidP="00000000" w:rsidRDefault="00000000" w:rsidRPr="00000000" w14:paraId="00000002">
      <w:pPr>
        <w:spacing w:after="3600" w:before="200" w:line="24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línea corta" id="1" name="image2.png"/>
            <a:graphic>
              <a:graphicData uri="http://schemas.openxmlformats.org/drawingml/2006/picture">
                <pic:pic>
                  <pic:nvPicPr>
                    <pic:cNvPr descr="línea corta"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/>
        <w:drawing>
          <wp:inline distB="114300" distT="114300" distL="114300" distR="114300">
            <wp:extent cx="4991100" cy="10795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07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200" w:line="300" w:lineRule="auto"/>
        <w:jc w:val="center"/>
        <w:rPr>
          <w:rFonts w:ascii="Proxima Nova" w:cs="Proxima Nova" w:eastAsia="Proxima Nova" w:hAnsi="Proxima Nova"/>
          <w:color w:val="666666"/>
          <w:sz w:val="32"/>
          <w:szCs w:val="32"/>
        </w:rPr>
      </w:pPr>
      <w:r w:rsidDel="00000000" w:rsidR="00000000" w:rsidRPr="00000000">
        <w:rPr>
          <w:b w:val="1"/>
          <w:bCs w:val="1"/>
          <w:color w:val="bf9000"/>
          <w:sz w:val="40"/>
          <w:szCs w:val="40"/>
          <w:rtl w:val="0"/>
        </w:rPr>
        <w:t xml:space="preserve">PONDERACIÓN:  1 PT</w:t>
      </w:r>
      <w:r w:rsidDel="00000000" w:rsidR="00000000" w:rsidRPr="00000000">
        <w:rPr>
          <w:rFonts w:ascii="Proxima Nova" w:cs="Proxima Nova" w:eastAsia="Proxima Nova" w:hAnsi="Proxima Nova"/>
          <w:sz w:val="32"/>
          <w:szCs w:val="32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20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20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Universidad San Carlos de Guatemala</w:t>
      </w:r>
    </w:p>
    <w:p w:rsidR="00000000" w:rsidDel="00000000" w:rsidP="00000000" w:rsidRDefault="00000000" w:rsidRPr="00000000" w14:paraId="00000007">
      <w:pPr>
        <w:spacing w:before="20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Facultad de ingeniería.</w:t>
      </w:r>
    </w:p>
    <w:p w:rsidR="00000000" w:rsidDel="00000000" w:rsidP="00000000" w:rsidRDefault="00000000" w:rsidRPr="00000000" w14:paraId="00000008">
      <w:pPr>
        <w:spacing w:before="20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Ingeniería en ciencias y sistemas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spacing w:after="0"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1qu29amgtbxx" w:id="1"/>
      <w:bookmarkEnd w:id="1"/>
      <w:r w:rsidDel="00000000" w:rsidR="00000000" w:rsidRPr="00000000">
        <w:rPr>
          <w:rFonts w:ascii="Proxima Nova" w:cs="Proxima Nova" w:eastAsia="Proxima Nova" w:hAnsi="Proxima Nova"/>
          <w:color w:val="039be5"/>
          <w:sz w:val="36"/>
          <w:szCs w:val="36"/>
          <w:rtl w:val="0"/>
        </w:rPr>
        <w:t xml:space="preserve">Competencia(s)</w:t>
      </w:r>
    </w:p>
    <w:p w:rsidR="00000000" w:rsidDel="00000000" w:rsidP="00000000" w:rsidRDefault="00000000" w:rsidRPr="00000000" w14:paraId="0000000A">
      <w:pPr>
        <w:spacing w:before="200" w:line="300" w:lineRule="auto"/>
        <w:rPr>
          <w:rFonts w:ascii="Proxima Nova" w:cs="Proxima Nova" w:eastAsia="Proxima Nova" w:hAnsi="Proxima Nova"/>
          <w:color w:val="f1c232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Identifica los conceptos fundamentales de la teoría de sistemas y del pensamiento sistémico mediante la revisión de definiciones, clasificaciones y características básicas de los sistemas para reconocer los elementos esenciales en el análisis y modelación de sistemas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spacing w:after="0"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wquuiqtxgt9u" w:id="2"/>
      <w:bookmarkEnd w:id="2"/>
      <w:r w:rsidDel="00000000" w:rsidR="00000000" w:rsidRPr="00000000">
        <w:rPr>
          <w:rFonts w:ascii="Proxima Nova" w:cs="Proxima Nova" w:eastAsia="Proxima Nova" w:hAnsi="Proxima Nova"/>
          <w:color w:val="039be5"/>
          <w:sz w:val="36"/>
          <w:szCs w:val="36"/>
          <w:rtl w:val="0"/>
        </w:rPr>
        <w:t xml:space="preserve">Cuestionario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Los paradigmas compartidos influyen directamente en la manera en que las personas toman decisiones dentro de un sistema.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Verdadero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Falso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evolución de paradigmas no afecta los modelos mentales compartidos ni las perspectivas dentro de un sistema.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Verdadero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Falso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 operaciones mentales avanzadas en el pensamiento sistémico ayudan a considerar múltiples perspectivas y relaciones en la toma de decisiones.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Verdadero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Falso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 perspectivas individuales no tienen impacto en cómo se interpretan los sistemas abstractos.</w:t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Verdadero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Falso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Comparar paradigmas permite entender mejor diferentes formas de pensar y actuar en contextos similares.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Verdadero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Falso</w:t>
        <w:br w:type="textWrapping"/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spacing w:after="0"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8zzin911mwf0" w:id="3"/>
      <w:bookmarkEnd w:id="3"/>
      <w:r w:rsidDel="00000000" w:rsidR="00000000" w:rsidRPr="00000000">
        <w:rPr>
          <w:rFonts w:ascii="Proxima Nova" w:cs="Proxima Nova" w:eastAsia="Proxima Nova" w:hAnsi="Proxima Nova"/>
          <w:color w:val="039be5"/>
          <w:sz w:val="36"/>
          <w:szCs w:val="36"/>
          <w:rtl w:val="0"/>
        </w:rPr>
        <w:t xml:space="preserve">Rúbrica de Calificación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7427.19469052180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23.9625787711902"/>
        <w:gridCol w:w="3789.4818376289413"/>
        <w:gridCol w:w="1313.750274121673"/>
        <w:tblGridChange w:id="0">
          <w:tblGrid>
            <w:gridCol w:w="2323.9625787711902"/>
            <w:gridCol w:w="3789.4818376289413"/>
            <w:gridCol w:w="1313.750274121673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Puntos Máximos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Respuestas correctas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Evaluación de respuestas dadas por el estudiante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25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spacing w:after="0" w:before="480" w:line="300" w:lineRule="auto"/>
        <w:rPr/>
      </w:pPr>
      <w:bookmarkStart w:colFirst="0" w:colLast="0" w:name="_vkh56rv5wkde" w:id="4"/>
      <w:bookmarkEnd w:id="4"/>
      <w:r w:rsidDel="00000000" w:rsidR="00000000" w:rsidRPr="00000000">
        <w:rPr>
          <w:rFonts w:ascii="Proxima Nova" w:cs="Proxima Nova" w:eastAsia="Proxima Nova" w:hAnsi="Proxima Nova"/>
          <w:color w:val="039be5"/>
          <w:sz w:val="36"/>
          <w:szCs w:val="36"/>
          <w:rtl w:val="0"/>
        </w:rPr>
        <w:t xml:space="preserve">Valores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Reflexión crítica: Esencial para identificar supuestos y mejorar modelos de sistemas.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Responsabilidad cognitiva: Crucial para desarrollar modelos sistémicos sólidos y asumir el impacto de las propias decisiones analíticas.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Pensamiento crítico: Permite cuestionar supuestos, identificar errores y mejorar la comprensión de sistemas complejos.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