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77777777" w:rsidR="00D25719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CC3ADF" w14:textId="4439EE27" w:rsidR="00D25719" w:rsidRDefault="00A231F0">
      <w:pPr>
        <w:rPr>
          <w:b/>
          <w:sz w:val="40"/>
          <w:szCs w:val="40"/>
        </w:rPr>
      </w:pPr>
      <w:r w:rsidRPr="00A231F0">
        <w:rPr>
          <w:b/>
          <w:sz w:val="40"/>
          <w:szCs w:val="40"/>
        </w:rPr>
        <w:t>Fundamentos del análisis OLAP y multidimensionalidad</w:t>
      </w:r>
    </w:p>
    <w:p w14:paraId="3FFB4518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26416CCB" w:rsidR="00D25719" w:rsidRDefault="00A231F0">
      <w:pPr>
        <w:rPr>
          <w:b/>
          <w:sz w:val="40"/>
          <w:szCs w:val="40"/>
        </w:rPr>
      </w:pPr>
      <w:r w:rsidRPr="00A231F0">
        <w:rPr>
          <w:b/>
          <w:sz w:val="40"/>
          <w:szCs w:val="40"/>
        </w:rPr>
        <w:t>Introducción al análisis OLAP y sus ventajas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38318BA6" w14:textId="77777777" w:rsidR="00A231F0" w:rsidRPr="00A231F0" w:rsidRDefault="00A231F0" w:rsidP="00A231F0">
      <w:pPr>
        <w:rPr>
          <w:b/>
        </w:rPr>
      </w:pPr>
      <w:r w:rsidRPr="00A231F0">
        <w:rPr>
          <w:b/>
        </w:rPr>
        <w:t>Entender la utilidad del análisis OLAP para tomar decisiones basadas en datos.</w:t>
      </w:r>
    </w:p>
    <w:p w14:paraId="5FC7236A" w14:textId="77777777" w:rsidR="00A231F0" w:rsidRPr="00A231F0" w:rsidRDefault="00A231F0" w:rsidP="00A231F0">
      <w:pPr>
        <w:rPr>
          <w:b/>
        </w:rPr>
      </w:pPr>
      <w:r w:rsidRPr="00A231F0">
        <w:rPr>
          <w:b/>
        </w:rPr>
        <w:t>Conocer las ventajas del enfoque multidimensional para explorar grandes volúmenes de datos.</w:t>
      </w:r>
    </w:p>
    <w:p w14:paraId="75A6779D" w14:textId="77777777" w:rsidR="00A231F0" w:rsidRPr="00A231F0" w:rsidRDefault="00A231F0" w:rsidP="00A231F0">
      <w:pPr>
        <w:rPr>
          <w:b/>
        </w:rPr>
      </w:pPr>
      <w:r w:rsidRPr="00A231F0">
        <w:rPr>
          <w:b/>
        </w:rPr>
        <w:t>Identificar los componentes esenciales del modelo OLAP.</w:t>
      </w:r>
    </w:p>
    <w:p w14:paraId="31F7FDCE" w14:textId="0E47C7A3" w:rsidR="00D25719" w:rsidRDefault="00A231F0" w:rsidP="00A231F0">
      <w:pPr>
        <w:rPr>
          <w:b/>
        </w:rPr>
      </w:pPr>
      <w:r w:rsidRPr="00A231F0">
        <w:rPr>
          <w:b/>
        </w:rPr>
        <w:t>Diferenciar los tipos de OLAP (MOLAP, ROLAP y HOLAP).</w:t>
      </w:r>
    </w:p>
    <w:p w14:paraId="11D08A3A" w14:textId="77777777" w:rsidR="00D25719" w:rsidRDefault="00D25719">
      <w:pPr>
        <w:rPr>
          <w:b/>
        </w:rPr>
      </w:pP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02D87C84" w14:textId="7080B3F6" w:rsidR="00D25719" w:rsidRDefault="00A231F0">
      <w:pPr>
        <w:rPr>
          <w:b/>
          <w:sz w:val="40"/>
          <w:szCs w:val="40"/>
        </w:rPr>
      </w:pPr>
      <w:r w:rsidRPr="00A231F0">
        <w:rPr>
          <w:b/>
          <w:sz w:val="30"/>
          <w:szCs w:val="30"/>
        </w:rPr>
        <w:t>Comprender los conceptos clave del análisis multidimensional y OLAP.</w:t>
      </w:r>
      <w:r w:rsidRPr="00A231F0">
        <w:rPr>
          <w:b/>
          <w:sz w:val="30"/>
          <w:szCs w:val="30"/>
        </w:rPr>
        <w:t xml:space="preserve"> </w:t>
      </w:r>
      <w:r w:rsidR="00000000">
        <w:rPr>
          <w:b/>
          <w:sz w:val="40"/>
          <w:szCs w:val="40"/>
        </w:rPr>
        <w:t>Cronograma</w:t>
      </w:r>
    </w:p>
    <w:p w14:paraId="462D9571" w14:textId="5229062B" w:rsidR="00D25719" w:rsidRDefault="00A231F0">
      <w:pPr>
        <w:rPr>
          <w:b/>
        </w:rPr>
      </w:pPr>
      <w:r w:rsidRPr="00A231F0">
        <w:drawing>
          <wp:inline distT="0" distB="0" distL="0" distR="0" wp14:anchorId="1F4CA3E6" wp14:editId="745B31D1">
            <wp:extent cx="7412990" cy="1316355"/>
            <wp:effectExtent l="0" t="0" r="0" b="0"/>
            <wp:docPr id="645119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E073" w14:textId="77777777" w:rsidR="00D25719" w:rsidRDefault="00D25719">
      <w:pPr>
        <w:rPr>
          <w:b/>
        </w:rPr>
      </w:pP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7BAD66" w14:textId="77777777" w:rsidR="00777F76" w:rsidRDefault="00777F76">
      <w:pPr>
        <w:spacing w:line="240" w:lineRule="auto"/>
      </w:pPr>
      <w:r>
        <w:separator/>
      </w:r>
    </w:p>
  </w:endnote>
  <w:endnote w:type="continuationSeparator" w:id="0">
    <w:p w14:paraId="005DA2CB" w14:textId="77777777" w:rsidR="00777F76" w:rsidRDefault="00777F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2ED1D2" w14:textId="77777777" w:rsidR="00777F76" w:rsidRDefault="00777F76">
      <w:pPr>
        <w:spacing w:line="240" w:lineRule="auto"/>
      </w:pPr>
      <w:r>
        <w:separator/>
      </w:r>
    </w:p>
  </w:footnote>
  <w:footnote w:type="continuationSeparator" w:id="0">
    <w:p w14:paraId="3C69B20B" w14:textId="77777777" w:rsidR="00777F76" w:rsidRDefault="00777F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6D5ADD0C" w:rsidR="00D25719" w:rsidRDefault="00A231F0">
    <w:pPr>
      <w:jc w:val="right"/>
      <w:rPr>
        <w:color w:val="0000FF"/>
      </w:rPr>
    </w:pPr>
    <w:r>
      <w:rPr>
        <w:color w:val="0000FF"/>
      </w:rPr>
      <w:t>Seminario de Sistemas 2</w:t>
    </w:r>
    <w:r w:rsidR="00000000">
      <w:rPr>
        <w:color w:val="0000FF"/>
      </w:rPr>
      <w:br/>
      <w:t>Laboratorio</w:t>
    </w:r>
  </w:p>
  <w:p w14:paraId="03C67F2B" w14:textId="77777777" w:rsidR="00D25719" w:rsidRDefault="00000000">
    <w:pPr>
      <w:jc w:val="right"/>
      <w:rPr>
        <w:color w:val="0000FF"/>
      </w:rPr>
    </w:pPr>
    <w:r>
      <w:rPr>
        <w:color w:val="0000FF"/>
      </w:rPr>
      <w:t>S.1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777F76"/>
    <w:rsid w:val="00932207"/>
    <w:rsid w:val="009C6E31"/>
    <w:rsid w:val="00A231F0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31F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1F0"/>
  </w:style>
  <w:style w:type="paragraph" w:styleId="Footer">
    <w:name w:val="footer"/>
    <w:basedOn w:val="Normal"/>
    <w:link w:val="FooterChar"/>
    <w:uiPriority w:val="99"/>
    <w:unhideWhenUsed/>
    <w:rsid w:val="00A231F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5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2024-10-19T07:40:00Z</dcterms:modified>
</cp:coreProperties>
</file>