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la Flow Library?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Una biblioteca para modelar flujos continuos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software para crear gráficos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sistema de gestión de datos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materiales se pueden simular con la Flow Library?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Sólidos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Líquidos y gases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Metales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objeto se utiliza para representar una fuente de flujo en la Flow Library?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FlowNode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FlowSource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Tank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define el Initial Maximum Flow Rate en un FlowNode?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capacidad del tanque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tasa máxima inicial de flujo permitida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El tipo de entidad de salida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el Dynamic Updating en un FlowNode?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Cambiar dinámicamente las propiedades durante la simulación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Aumentar la capacidad del tanque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Reducir el tiempo de procesamiento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utiliza para modelar el almacenamiento de flujos continuos?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FlowSource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Tank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FlowNode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indica el High-High Mark en un tanque?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nivel críticamente alto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nivel bajo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nivel medio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mostrar en el sistema de embotellado?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tiempo de procesamiento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cantidad de líquido en el tanque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El costo de producción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capacidad tiene una botella grande en la embotelladora "Pura Agua"?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250ml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500ml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1L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caudal de salida en la embotelladora "Agua Quemante"?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1L/s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2L/s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3L/s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