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la pestaña "Definiciones" en SIMIO?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lugar para crear gráficos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Una sección para definir componentes y parámetros clave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editor de texto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son los "states" en SIMIO?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Variables que describen condiciones de objetos durante la simulación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tipo de gráfico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tipo de entidad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diferencia principal entre los estados reales e integer?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Los reales son más rápidos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Los reales tienen un Display Format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Los integer son más precisos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¿Para qué se utilizan los estados booleanos?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Para contar entidades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Para activar o desactivar servidores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Para medir tiempo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representa un estado Date Time?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valor numérico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Una fecha y hora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texto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permite hacer la pestaña "Processes" en SIMIO?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Crear gráficos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Diseñar el flujo de actividades y eventos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Editar texto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el "Balking" en SIMIO?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Una propiedad de objetos servidor para procesar o no entidades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tipo de gráfico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método de simulación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distribución sigue la llegada de órdenes en el ejemplo de la empresa de tornillos?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Normal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Poisson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Exponencial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¿Cuánto tiempo en promedio se tarda en empacar tornillos?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10 segundos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15 segundos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20 segundos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debe simular en el ejemplo de la empresa de tornillos?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mes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día entero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Una semana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