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7ECD7FF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4271FC9" w14:textId="07EDE6E4" w:rsidR="00D25719" w:rsidRDefault="00FD5C20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4 de 14</w:t>
      </w:r>
    </w:p>
    <w:p w14:paraId="1BFB4D2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2B88285" w14:textId="77777777" w:rsidR="00F6401F" w:rsidRDefault="00F6401F">
      <w:pPr>
        <w:rPr>
          <w:b/>
          <w:sz w:val="40"/>
          <w:szCs w:val="40"/>
        </w:rPr>
      </w:pPr>
      <w:r w:rsidRPr="00F6401F">
        <w:rPr>
          <w:b/>
          <w:sz w:val="40"/>
          <w:szCs w:val="40"/>
        </w:rPr>
        <w:t>Herramientas de integración de datos</w:t>
      </w:r>
    </w:p>
    <w:p w14:paraId="3FFB4518" w14:textId="7DC53CC0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63EA9273" w14:textId="77777777" w:rsidR="00F6401F" w:rsidRDefault="00F6401F">
      <w:pPr>
        <w:rPr>
          <w:b/>
          <w:sz w:val="40"/>
          <w:szCs w:val="40"/>
        </w:rPr>
      </w:pPr>
      <w:r w:rsidRPr="00F6401F">
        <w:rPr>
          <w:b/>
          <w:sz w:val="40"/>
          <w:szCs w:val="40"/>
        </w:rPr>
        <w:t>Cubos Multidimensionales</w:t>
      </w:r>
    </w:p>
    <w:p w14:paraId="18C0A7F4" w14:textId="360E76A6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5D00EEE7" w14:textId="77777777" w:rsidR="00F6401F" w:rsidRPr="00F6401F" w:rsidRDefault="00F6401F" w:rsidP="00F6401F">
      <w:pPr>
        <w:rPr>
          <w:b/>
        </w:rPr>
      </w:pPr>
      <w:r w:rsidRPr="00F6401F">
        <w:rPr>
          <w:b/>
        </w:rPr>
        <w:t>Seleccionar y usar herramientas ETL comerciales y de código abierto para proyectos de BI.</w:t>
      </w:r>
    </w:p>
    <w:p w14:paraId="07D9F7A7" w14:textId="77777777" w:rsidR="00F6401F" w:rsidRPr="00F6401F" w:rsidRDefault="00F6401F" w:rsidP="00F6401F">
      <w:pPr>
        <w:rPr>
          <w:b/>
        </w:rPr>
      </w:pPr>
      <w:r w:rsidRPr="00F6401F">
        <w:rPr>
          <w:b/>
        </w:rPr>
        <w:t>Comparar diferentes tipos de herramientas ETL y sus características.</w:t>
      </w:r>
    </w:p>
    <w:p w14:paraId="4FFE6C14" w14:textId="77777777" w:rsidR="00F6401F" w:rsidRPr="00F6401F" w:rsidRDefault="00F6401F" w:rsidP="00F6401F">
      <w:pPr>
        <w:rPr>
          <w:b/>
        </w:rPr>
      </w:pPr>
      <w:r w:rsidRPr="00F6401F">
        <w:rPr>
          <w:b/>
        </w:rPr>
        <w:t>Reconocer tendencias actuales en el ámbito de las herramientas ETL.</w:t>
      </w:r>
    </w:p>
    <w:p w14:paraId="11D08A3A" w14:textId="6E850DC2" w:rsidR="00D25719" w:rsidRDefault="00F6401F" w:rsidP="00F6401F">
      <w:pPr>
        <w:rPr>
          <w:b/>
        </w:rPr>
      </w:pPr>
      <w:r w:rsidRPr="00F6401F">
        <w:rPr>
          <w:b/>
        </w:rPr>
        <w:t>Evaluar casos de uso de herramientas ETL en diferentes escenarios.</w:t>
      </w:r>
    </w:p>
    <w:p w14:paraId="08538401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06FBBEEF" w14:textId="51EF7AD9" w:rsidR="00D25719" w:rsidRDefault="00FD5C20">
      <w:pPr>
        <w:rPr>
          <w:b/>
          <w:sz w:val="30"/>
          <w:szCs w:val="30"/>
        </w:rPr>
      </w:pPr>
      <w:r w:rsidRPr="00FD5C20">
        <w:rPr>
          <w:b/>
          <w:sz w:val="30"/>
          <w:szCs w:val="30"/>
        </w:rPr>
        <w:t>Seleccionar y usar herramientas ETL comerciales y de código abierto.</w:t>
      </w:r>
    </w:p>
    <w:p w14:paraId="02D87C8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462D9571" w14:textId="77777777" w:rsidR="00D25719" w:rsidRDefault="00D25719">
      <w:pPr>
        <w:rPr>
          <w:b/>
        </w:rPr>
      </w:pPr>
    </w:p>
    <w:p w14:paraId="5DCAE073" w14:textId="2AD0780E" w:rsidR="00D25719" w:rsidRDefault="00FD5C20">
      <w:pPr>
        <w:rPr>
          <w:b/>
        </w:rPr>
      </w:pPr>
      <w:r w:rsidRPr="00FD5C20">
        <w:rPr>
          <w:noProof/>
        </w:rPr>
        <w:drawing>
          <wp:inline distT="0" distB="0" distL="0" distR="0" wp14:anchorId="5AD79830" wp14:editId="22B3E17E">
            <wp:extent cx="7412990" cy="1316355"/>
            <wp:effectExtent l="0" t="0" r="0" b="0"/>
            <wp:docPr id="181819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BD30" w14:textId="77777777" w:rsidR="00D25719" w:rsidRDefault="00D25719">
      <w:pPr>
        <w:rPr>
          <w:b/>
        </w:rPr>
      </w:pPr>
    </w:p>
    <w:p w14:paraId="79E394CE" w14:textId="77777777" w:rsidR="00D25719" w:rsidRDefault="00D25719">
      <w:pPr>
        <w:rPr>
          <w:b/>
        </w:rPr>
      </w:pPr>
    </w:p>
    <w:p w14:paraId="2AD08FC9" w14:textId="77777777" w:rsidR="00D25719" w:rsidRDefault="00D25719">
      <w:pPr>
        <w:rPr>
          <w:b/>
        </w:rPr>
      </w:pPr>
    </w:p>
    <w:p w14:paraId="1E28C9B2" w14:textId="77777777" w:rsidR="00D25719" w:rsidRDefault="00D25719">
      <w:pPr>
        <w:rPr>
          <w:b/>
        </w:rPr>
      </w:pPr>
    </w:p>
    <w:p w14:paraId="1DCE6392" w14:textId="77777777" w:rsidR="00D25719" w:rsidRDefault="00D25719">
      <w:pPr>
        <w:rPr>
          <w:b/>
        </w:rPr>
      </w:pPr>
    </w:p>
    <w:p w14:paraId="11CE8A78" w14:textId="77777777" w:rsidR="00D25719" w:rsidRDefault="00D25719">
      <w:pPr>
        <w:rPr>
          <w:b/>
        </w:rPr>
      </w:pPr>
    </w:p>
    <w:p w14:paraId="3BA2DA70" w14:textId="77777777" w:rsidR="00D25719" w:rsidRDefault="00D25719">
      <w:pPr>
        <w:rPr>
          <w:b/>
        </w:rPr>
      </w:pPr>
    </w:p>
    <w:p w14:paraId="71A2C10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0BD4B258" w14:textId="77777777" w:rsidR="00D25719" w:rsidRDefault="00D25719">
      <w:pPr>
        <w:rPr>
          <w:b/>
          <w:sz w:val="40"/>
          <w:szCs w:val="40"/>
        </w:rPr>
      </w:pPr>
    </w:p>
    <w:p w14:paraId="79CA8A72" w14:textId="77777777" w:rsidR="00D25719" w:rsidRDefault="00000000">
      <w:r>
        <w:t>Una vez establecido el cronograma se deben indicar las actividades y ponderaciones.</w:t>
      </w:r>
    </w:p>
    <w:sectPr w:rsidR="00D2571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5E5610" w14:textId="77777777" w:rsidR="00FE4B68" w:rsidRDefault="00FE4B68">
      <w:pPr>
        <w:spacing w:line="240" w:lineRule="auto"/>
      </w:pPr>
      <w:r>
        <w:separator/>
      </w:r>
    </w:p>
  </w:endnote>
  <w:endnote w:type="continuationSeparator" w:id="0">
    <w:p w14:paraId="21E4AC05" w14:textId="77777777" w:rsidR="00FE4B68" w:rsidRDefault="00FE4B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67768" w14:textId="77777777" w:rsidR="00D25719" w:rsidRDefault="00D25719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D25719" w14:paraId="57E9418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CF957E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A6CBE7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F76F1">
            <w:rPr>
              <w:noProof/>
            </w:rPr>
            <w:t>1</w:t>
          </w:r>
          <w:r>
            <w:fldChar w:fldCharType="end"/>
          </w:r>
        </w:p>
      </w:tc>
    </w:tr>
  </w:tbl>
  <w:p w14:paraId="2A846F87" w14:textId="77777777" w:rsidR="00D25719" w:rsidRDefault="00D2571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C64A63" w14:textId="77777777" w:rsidR="00FE4B68" w:rsidRDefault="00FE4B68">
      <w:pPr>
        <w:spacing w:line="240" w:lineRule="auto"/>
      </w:pPr>
      <w:r>
        <w:separator/>
      </w:r>
    </w:p>
  </w:footnote>
  <w:footnote w:type="continuationSeparator" w:id="0">
    <w:p w14:paraId="3C6AA3DD" w14:textId="77777777" w:rsidR="00FE4B68" w:rsidRDefault="00FE4B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E67F2" w14:textId="0EAE9E12" w:rsidR="00D25719" w:rsidRDefault="00FD5C20">
    <w:pPr>
      <w:jc w:val="right"/>
      <w:rPr>
        <w:color w:val="0000FF"/>
      </w:rPr>
    </w:pPr>
    <w:r>
      <w:rPr>
        <w:color w:val="0000FF"/>
      </w:rPr>
      <w:t>Seminario de sistemas 2</w:t>
    </w:r>
    <w:r>
      <w:rPr>
        <w:color w:val="0000FF"/>
      </w:rPr>
      <w:br/>
      <w:t>Laboratorio</w:t>
    </w:r>
  </w:p>
  <w:p w14:paraId="03C67F2B" w14:textId="0FA2E36F" w:rsidR="00D25719" w:rsidRDefault="00000000">
    <w:pPr>
      <w:jc w:val="right"/>
      <w:rPr>
        <w:color w:val="0000FF"/>
      </w:rPr>
    </w:pPr>
    <w:r>
      <w:rPr>
        <w:color w:val="0000FF"/>
      </w:rPr>
      <w:t>S.</w:t>
    </w:r>
    <w:r w:rsidR="00FD5C20">
      <w:rPr>
        <w:color w:val="0000FF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19"/>
    <w:rsid w:val="001F76F1"/>
    <w:rsid w:val="00223186"/>
    <w:rsid w:val="0092463F"/>
    <w:rsid w:val="00932207"/>
    <w:rsid w:val="009C6E31"/>
    <w:rsid w:val="00D17525"/>
    <w:rsid w:val="00D25719"/>
    <w:rsid w:val="00F6401F"/>
    <w:rsid w:val="00FD5C20"/>
    <w:rsid w:val="00FE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C122"/>
  <w15:docId w15:val="{287155FE-AA01-417A-8BB1-307D6010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D5C20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C20"/>
  </w:style>
  <w:style w:type="paragraph" w:styleId="Footer">
    <w:name w:val="footer"/>
    <w:basedOn w:val="Normal"/>
    <w:link w:val="FooterChar"/>
    <w:uiPriority w:val="99"/>
    <w:unhideWhenUsed/>
    <w:rsid w:val="00FD5C20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5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539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Cubur</cp:lastModifiedBy>
  <cp:revision>4</cp:revision>
  <dcterms:created xsi:type="dcterms:W3CDTF">2024-10-19T06:36:00Z</dcterms:created>
  <dcterms:modified xsi:type="dcterms:W3CDTF">2024-10-19T08:02:00Z</dcterms:modified>
</cp:coreProperties>
</file>