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20EF" w14:textId="24B47B48" w:rsidR="005623FE" w:rsidRDefault="00673962">
      <w:pPr>
        <w:pStyle w:val="Title"/>
        <w:pBdr>
          <w:top w:val="nil"/>
          <w:left w:val="nil"/>
          <w:bottom w:val="nil"/>
          <w:right w:val="nil"/>
          <w:between w:val="nil"/>
        </w:pBdr>
      </w:pPr>
      <w:r>
        <w:rPr>
          <w:rFonts w:ascii="Arial" w:eastAsia="Arial" w:hAnsi="Arial" w:cs="Arial"/>
          <w:color w:val="F1C232"/>
          <w:sz w:val="94"/>
          <w:szCs w:val="94"/>
        </w:rPr>
        <w:t>Almacenamiento en la nube</w:t>
      </w:r>
    </w:p>
    <w:p w14:paraId="075E3490" w14:textId="77777777" w:rsidR="005623FE" w:rsidRDefault="00000000">
      <w:r>
        <w:rPr>
          <w:noProof/>
        </w:rPr>
        <mc:AlternateContent>
          <mc:Choice Requires="wps">
            <w:drawing>
              <wp:inline distT="114300" distB="114300" distL="114300" distR="114300" wp14:anchorId="7C652563" wp14:editId="4F5834F5">
                <wp:extent cx="1736111" cy="94789"/>
                <wp:effectExtent l="0" t="0" r="0" b="0"/>
                <wp:docPr id="1" name="Rectangle 1"/>
                <wp:cNvGraphicFramePr/>
                <a:graphic xmlns:a="http://schemas.openxmlformats.org/drawingml/2006/main">
                  <a:graphicData uri="http://schemas.microsoft.com/office/word/2010/wordprocessingShape">
                    <wps:wsp>
                      <wps:cNvSpPr/>
                      <wps:spPr>
                        <a:xfrm>
                          <a:off x="4594800" y="3724200"/>
                          <a:ext cx="1502400" cy="111600"/>
                        </a:xfrm>
                        <a:prstGeom prst="rect">
                          <a:avLst/>
                        </a:prstGeom>
                        <a:solidFill>
                          <a:srgbClr val="0B5394"/>
                        </a:solidFill>
                        <a:ln w="9525" cap="flat" cmpd="sng">
                          <a:solidFill>
                            <a:srgbClr val="0B5394"/>
                          </a:solidFill>
                          <a:prstDash val="solid"/>
                          <a:round/>
                          <a:headEnd type="none" w="sm" len="sm"/>
                          <a:tailEnd type="none" w="sm" len="sm"/>
                        </a:ln>
                      </wps:spPr>
                      <wps:txbx>
                        <w:txbxContent>
                          <w:p w14:paraId="27756824" w14:textId="77777777" w:rsidR="005623FE" w:rsidRDefault="005623FE">
                            <w:pPr>
                              <w:spacing w:before="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7C652563" id="Rectangle 1" o:spid="_x0000_s1026" style="width:136.7pt;height:7.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" fillcolor="#0b5394" strokecolor="#0b5394">
                <v:stroke startarrowwidth="narrow" startarrowlength="short" endarrowwidth="narrow" endarrowlength="short" joinstyle="round"/>
                <v:textbox inset="2.53958mm,2.53958mm,2.53958mm,2.53958mm">
                  <w:txbxContent>
                    <w:p w14:paraId="27756824" w14:textId="77777777" w:rsidR="005623FE" w:rsidRDefault="005623FE">
                      <w:pPr>
                        <w:spacing w:before="0" w:line="240" w:lineRule="auto"/>
                        <w:jc w:val="center"/>
                        <w:textDirection w:val="btLr"/>
                      </w:pPr>
                    </w:p>
                  </w:txbxContent>
                </v:textbox>
                <w10:anchorlock/>
              </v:rect>
            </w:pict>
          </mc:Fallback>
        </mc:AlternateContent>
      </w:r>
    </w:p>
    <w:p w14:paraId="44133395" w14:textId="7176D226" w:rsidR="005623FE" w:rsidRDefault="00673962">
      <w:r>
        <w:t>AUX X</w:t>
      </w:r>
    </w:p>
    <w:p w14:paraId="2FAEA89B" w14:textId="77777777" w:rsidR="005623FE" w:rsidRDefault="005623FE"/>
    <w:p w14:paraId="5A87151A" w14:textId="77777777" w:rsidR="005623FE" w:rsidRDefault="005623FE"/>
    <w:p w14:paraId="0B417BA3" w14:textId="77777777" w:rsidR="005623FE" w:rsidRDefault="005623FE"/>
    <w:p w14:paraId="6A30D2FC" w14:textId="77777777" w:rsidR="005623FE" w:rsidRDefault="005623FE"/>
    <w:p w14:paraId="6E1B0548" w14:textId="77777777" w:rsidR="005623FE" w:rsidRDefault="005623FE">
      <w:pPr>
        <w:spacing w:before="240" w:after="240" w:line="276" w:lineRule="auto"/>
        <w:jc w:val="center"/>
        <w:rPr>
          <w:b/>
          <w:bCs/>
          <w:color w:val="1C4587"/>
          <w:sz w:val="40"/>
          <w:szCs w:val="40"/>
        </w:rPr>
      </w:pPr>
    </w:p>
    <w:p w14:paraId="1DA67F0A" w14:textId="77777777" w:rsidR="005623FE" w:rsidRDefault="00000000">
      <w:pPr>
        <w:spacing w:before="240" w:after="240" w:line="276" w:lineRule="auto"/>
        <w:jc w:val="center"/>
        <w:rPr>
          <w:b/>
          <w:bCs/>
          <w:color w:val="1C4587"/>
          <w:sz w:val="40"/>
          <w:szCs w:val="40"/>
        </w:rPr>
      </w:pPr>
      <w:r>
        <w:rPr>
          <w:b/>
          <w:bCs/>
          <w:noProof/>
          <w:color w:val="1C4587"/>
          <w:sz w:val="40"/>
          <w:szCs w:val="40"/>
        </w:rPr>
        <w:drawing>
          <wp:inline distT="114300" distB="114300" distL="114300" distR="114300" wp14:anchorId="05F48DB9" wp14:editId="11EDA935">
            <wp:extent cx="222141" cy="22214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1C4587"/>
          <w:sz w:val="40"/>
          <w:szCs w:val="40"/>
        </w:rPr>
        <w:t>Tiempo estimado:  15 min</w:t>
      </w:r>
    </w:p>
    <w:p w14:paraId="17645B0E" w14:textId="77777777" w:rsidR="005623FE" w:rsidRDefault="005623FE">
      <w:pPr>
        <w:spacing w:before="240" w:after="240" w:line="276" w:lineRule="auto"/>
        <w:rPr>
          <w:b/>
          <w:bCs/>
          <w:color w:val="1C4587"/>
          <w:sz w:val="40"/>
          <w:szCs w:val="40"/>
        </w:rPr>
      </w:pPr>
    </w:p>
    <w:p w14:paraId="0005F950" w14:textId="77777777" w:rsidR="005623FE" w:rsidRDefault="005623FE">
      <w:pPr>
        <w:spacing w:before="240" w:after="240" w:line="276" w:lineRule="auto"/>
        <w:rPr>
          <w:b/>
          <w:bCs/>
          <w:color w:val="1C4587"/>
          <w:sz w:val="40"/>
          <w:szCs w:val="40"/>
        </w:rPr>
      </w:pPr>
    </w:p>
    <w:p w14:paraId="003A21A5" w14:textId="77777777" w:rsidR="005623FE" w:rsidRDefault="005623FE">
      <w:pPr>
        <w:spacing w:before="240" w:after="240" w:line="276" w:lineRule="auto"/>
        <w:rPr>
          <w:b/>
          <w:bCs/>
          <w:color w:val="1C4587"/>
          <w:sz w:val="40"/>
          <w:szCs w:val="40"/>
        </w:rPr>
      </w:pPr>
    </w:p>
    <w:p w14:paraId="51297788" w14:textId="77777777" w:rsidR="005623FE" w:rsidRDefault="00000000">
      <w:pPr>
        <w:rPr>
          <w:sz w:val="24"/>
          <w:szCs w:val="24"/>
        </w:rPr>
      </w:pPr>
      <w:r>
        <w:rPr>
          <w:sz w:val="24"/>
          <w:szCs w:val="24"/>
        </w:rPr>
        <w:t>Universidad San Carlos de Guatemala</w:t>
      </w:r>
    </w:p>
    <w:p w14:paraId="3EDB7391" w14:textId="77777777" w:rsidR="005623FE" w:rsidRDefault="00000000">
      <w:pPr>
        <w:spacing w:before="0" w:line="276" w:lineRule="auto"/>
        <w:rPr>
          <w:sz w:val="24"/>
          <w:szCs w:val="24"/>
        </w:rPr>
      </w:pPr>
      <w:r>
        <w:rPr>
          <w:sz w:val="24"/>
          <w:szCs w:val="24"/>
        </w:rPr>
        <w:t>Facultad de Ingeniería</w:t>
      </w:r>
    </w:p>
    <w:p w14:paraId="03ED5A52" w14:textId="77777777" w:rsidR="005623FE" w:rsidRDefault="00000000">
      <w:pPr>
        <w:spacing w:before="0" w:line="276" w:lineRule="auto"/>
        <w:rPr>
          <w:sz w:val="24"/>
          <w:szCs w:val="24"/>
        </w:rPr>
      </w:pPr>
      <w:r>
        <w:rPr>
          <w:sz w:val="24"/>
          <w:szCs w:val="24"/>
        </w:rPr>
        <w:t>Escuela de Ingeniería en Ciencias y Sistemas.</w:t>
      </w:r>
    </w:p>
    <w:p w14:paraId="43AEAAB2" w14:textId="77777777" w:rsidR="005623FE" w:rsidRDefault="00000000">
      <w:pPr>
        <w:spacing w:before="0" w:line="276" w:lineRule="auto"/>
        <w:rPr>
          <w:sz w:val="24"/>
          <w:szCs w:val="24"/>
        </w:rPr>
      </w:pPr>
      <w:r>
        <w:rPr>
          <w:sz w:val="24"/>
          <w:szCs w:val="24"/>
        </w:rPr>
        <w:t>Segundo Semestre 2026</w:t>
      </w:r>
    </w:p>
    <w:p w14:paraId="1ED73D44" w14:textId="77777777" w:rsidR="005623FE" w:rsidRDefault="00000000">
      <w:pPr>
        <w:spacing w:before="0" w:line="276" w:lineRule="auto"/>
        <w:rPr>
          <w:rFonts w:ascii="Times New Roman" w:eastAsia="Times New Roman" w:hAnsi="Times New Roman" w:cs="Times New Roman"/>
          <w:sz w:val="20"/>
          <w:szCs w:val="20"/>
        </w:rPr>
      </w:pPr>
      <w:r>
        <w:rPr>
          <w:sz w:val="24"/>
          <w:szCs w:val="24"/>
        </w:rPr>
        <w:t xml:space="preserve">[Laboratorio - Manejo e </w:t>
      </w:r>
      <w:proofErr w:type="spellStart"/>
      <w:r>
        <w:rPr>
          <w:sz w:val="24"/>
          <w:szCs w:val="24"/>
        </w:rPr>
        <w:t>Implementacion</w:t>
      </w:r>
      <w:proofErr w:type="spellEnd"/>
      <w:r>
        <w:rPr>
          <w:sz w:val="24"/>
          <w:szCs w:val="24"/>
        </w:rPr>
        <w:t xml:space="preserve"> de Archivos- Sección X]</w:t>
      </w:r>
    </w:p>
    <w:p w14:paraId="425621EF" w14:textId="77777777" w:rsidR="005623FE" w:rsidRDefault="00000000">
      <w:pPr>
        <w:pStyle w:val="Heading1"/>
        <w:numPr>
          <w:ilvl w:val="0"/>
          <w:numId w:val="2"/>
        </w:numPr>
      </w:pPr>
      <w:bookmarkStart w:id="0" w:name="_heading=h.2muonf2dkuty" w:colFirst="0" w:colLast="0"/>
      <w:bookmarkEnd w:id="0"/>
      <w:r>
        <w:lastRenderedPageBreak/>
        <w:t>Marco Formativo</w:t>
      </w:r>
    </w:p>
    <w:p w14:paraId="7D60AB8E" w14:textId="77777777" w:rsidR="005623FE" w:rsidRDefault="00000000">
      <w:pPr>
        <w:pStyle w:val="Heading2"/>
      </w:pPr>
      <w:bookmarkStart w:id="1" w:name="_heading=h.vpjigpoj8nws" w:colFirst="0" w:colLast="0"/>
      <w:bookmarkEnd w:id="1"/>
      <w:r>
        <w:t>1.1 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5623FE" w14:paraId="20B15C36" w14:textId="77777777">
        <w:tc>
          <w:tcPr>
            <w:tcW w:w="2250" w:type="dxa"/>
            <w:tcMar>
              <w:top w:w="100" w:type="dxa"/>
              <w:left w:w="100" w:type="dxa"/>
              <w:bottom w:w="100" w:type="dxa"/>
              <w:right w:w="100" w:type="dxa"/>
            </w:tcMar>
          </w:tcPr>
          <w:p w14:paraId="00A26FB5" w14:textId="77777777" w:rsidR="005623FE" w:rsidRDefault="00000000">
            <w:pPr>
              <w:spacing w:line="276" w:lineRule="auto"/>
              <w:rPr>
                <w:color w:val="039BE5"/>
                <w:sz w:val="36"/>
                <w:szCs w:val="36"/>
              </w:rPr>
            </w:pPr>
            <w:r>
              <w:t xml:space="preserve">Nombre del valor </w:t>
            </w:r>
          </w:p>
        </w:tc>
        <w:tc>
          <w:tcPr>
            <w:tcW w:w="7110" w:type="dxa"/>
            <w:tcMar>
              <w:top w:w="100" w:type="dxa"/>
              <w:left w:w="100" w:type="dxa"/>
              <w:bottom w:w="100" w:type="dxa"/>
              <w:right w:w="100" w:type="dxa"/>
            </w:tcMar>
          </w:tcPr>
          <w:p w14:paraId="72A435D0" w14:textId="77777777" w:rsidR="005623FE" w:rsidRDefault="00000000">
            <w:pPr>
              <w:spacing w:line="276" w:lineRule="auto"/>
              <w:rPr>
                <w:color w:val="039BE5"/>
                <w:sz w:val="36"/>
                <w:szCs w:val="36"/>
              </w:rPr>
            </w:pPr>
            <w:r>
              <w:t>¿Cómo se aplica en tu laboratorio?</w:t>
            </w:r>
          </w:p>
        </w:tc>
      </w:tr>
      <w:tr w:rsidR="005623FE" w14:paraId="69A3F1C7" w14:textId="77777777">
        <w:tc>
          <w:tcPr>
            <w:tcW w:w="2250" w:type="dxa"/>
            <w:tcMar>
              <w:top w:w="100" w:type="dxa"/>
              <w:left w:w="100" w:type="dxa"/>
              <w:bottom w:w="100" w:type="dxa"/>
              <w:right w:w="100" w:type="dxa"/>
            </w:tcMar>
          </w:tcPr>
          <w:p w14:paraId="4F2B34FF" w14:textId="77777777" w:rsidR="005623FE" w:rsidRDefault="00000000">
            <w:pPr>
              <w:widowControl w:val="0"/>
              <w:spacing w:before="0" w:line="240" w:lineRule="auto"/>
              <w:rPr>
                <w:color w:val="039BE5"/>
                <w:sz w:val="26"/>
                <w:szCs w:val="26"/>
              </w:rPr>
            </w:pPr>
            <w:r>
              <w:rPr>
                <w:color w:val="039BE5"/>
                <w:sz w:val="26"/>
                <w:szCs w:val="26"/>
              </w:rPr>
              <w:t>Responsabilidad</w:t>
            </w:r>
          </w:p>
        </w:tc>
        <w:tc>
          <w:tcPr>
            <w:tcW w:w="7110" w:type="dxa"/>
            <w:tcMar>
              <w:top w:w="100" w:type="dxa"/>
              <w:left w:w="100" w:type="dxa"/>
              <w:bottom w:w="100" w:type="dxa"/>
              <w:right w:w="100" w:type="dxa"/>
            </w:tcMar>
          </w:tcPr>
          <w:p w14:paraId="479CE903" w14:textId="4DF60DC9" w:rsidR="005623FE" w:rsidRDefault="00C4118E">
            <w:pPr>
              <w:widowControl w:val="0"/>
              <w:spacing w:before="0" w:line="240" w:lineRule="auto"/>
              <w:rPr>
                <w:color w:val="039BE5"/>
                <w:sz w:val="26"/>
                <w:szCs w:val="26"/>
              </w:rPr>
            </w:pPr>
            <w:r w:rsidRPr="00C4118E">
              <w:rPr>
                <w:color w:val="039BE5"/>
                <w:sz w:val="26"/>
                <w:szCs w:val="26"/>
              </w:rPr>
              <w:t>La responsabilidad se aplica en el laboratorio al gestionar correctamente la información almacenada en la nube, utilizando adecuadamente los recursos y protegiendo los datos para evitar pérdidas o accesos no autorizados.</w:t>
            </w:r>
          </w:p>
        </w:tc>
      </w:tr>
      <w:tr w:rsidR="005623FE" w14:paraId="03F444D9" w14:textId="77777777">
        <w:tc>
          <w:tcPr>
            <w:tcW w:w="2250" w:type="dxa"/>
            <w:tcMar>
              <w:top w:w="100" w:type="dxa"/>
              <w:left w:w="100" w:type="dxa"/>
              <w:bottom w:w="100" w:type="dxa"/>
              <w:right w:w="100" w:type="dxa"/>
            </w:tcMar>
          </w:tcPr>
          <w:p w14:paraId="517F4964" w14:textId="77777777" w:rsidR="005623FE" w:rsidRDefault="00000000">
            <w:pPr>
              <w:widowControl w:val="0"/>
              <w:spacing w:before="0" w:line="240" w:lineRule="auto"/>
              <w:rPr>
                <w:color w:val="039BE5"/>
                <w:sz w:val="26"/>
                <w:szCs w:val="26"/>
              </w:rPr>
            </w:pPr>
            <w:r>
              <w:rPr>
                <w:color w:val="039BE5"/>
                <w:sz w:val="26"/>
                <w:szCs w:val="26"/>
              </w:rPr>
              <w:t>Ética profesional</w:t>
            </w:r>
          </w:p>
        </w:tc>
        <w:tc>
          <w:tcPr>
            <w:tcW w:w="7110" w:type="dxa"/>
            <w:tcMar>
              <w:top w:w="100" w:type="dxa"/>
              <w:left w:w="100" w:type="dxa"/>
              <w:bottom w:w="100" w:type="dxa"/>
              <w:right w:w="100" w:type="dxa"/>
            </w:tcMar>
          </w:tcPr>
          <w:p w14:paraId="1B2F62F6" w14:textId="1FC6488C" w:rsidR="005623FE" w:rsidRDefault="00C4118E">
            <w:pPr>
              <w:widowControl w:val="0"/>
              <w:spacing w:before="0" w:line="240" w:lineRule="auto"/>
              <w:rPr>
                <w:color w:val="039BE5"/>
                <w:sz w:val="26"/>
                <w:szCs w:val="26"/>
              </w:rPr>
            </w:pPr>
            <w:r w:rsidRPr="00C4118E">
              <w:rPr>
                <w:color w:val="039BE5"/>
                <w:sz w:val="26"/>
                <w:szCs w:val="26"/>
              </w:rPr>
              <w:t>La ética profesional se refleja en el uso adecuado de la información y los servicios en la nube, respetando la privacidad de los datos, evitando el uso indebido de la información y cumpliendo con las normas de seguridad establecidas.</w:t>
            </w:r>
          </w:p>
        </w:tc>
      </w:tr>
    </w:tbl>
    <w:p w14:paraId="486FBD71" w14:textId="77777777" w:rsidR="005623FE" w:rsidRDefault="00000000">
      <w:pPr>
        <w:pStyle w:val="Heading2"/>
      </w:pPr>
      <w:bookmarkStart w:id="2" w:name="_heading=h.gbm5l8yij8sq" w:colFirst="0" w:colLast="0"/>
      <w:bookmarkEnd w:id="2"/>
      <w:r>
        <w:t>1.2 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5623FE" w14:paraId="3B4D8A90" w14:textId="77777777">
        <w:tc>
          <w:tcPr>
            <w:tcW w:w="2715" w:type="dxa"/>
            <w:tcMar>
              <w:top w:w="100" w:type="dxa"/>
              <w:left w:w="100" w:type="dxa"/>
              <w:bottom w:w="100" w:type="dxa"/>
              <w:right w:w="100" w:type="dxa"/>
            </w:tcMar>
          </w:tcPr>
          <w:p w14:paraId="01C3721E" w14:textId="77777777" w:rsidR="005623FE" w:rsidRDefault="00000000">
            <w:pPr>
              <w:widowControl w:val="0"/>
              <w:spacing w:before="0" w:line="240" w:lineRule="auto"/>
            </w:pPr>
            <w:r>
              <w:t xml:space="preserve">Tipo de Competencia </w:t>
            </w:r>
          </w:p>
        </w:tc>
        <w:tc>
          <w:tcPr>
            <w:tcW w:w="6645" w:type="dxa"/>
            <w:tcBorders>
              <w:top w:val="nil"/>
              <w:right w:val="nil"/>
            </w:tcBorders>
            <w:tcMar>
              <w:top w:w="100" w:type="dxa"/>
              <w:left w:w="100" w:type="dxa"/>
              <w:bottom w:w="100" w:type="dxa"/>
              <w:right w:w="100" w:type="dxa"/>
            </w:tcMar>
          </w:tcPr>
          <w:p w14:paraId="41FDA91D" w14:textId="77777777" w:rsidR="005623FE" w:rsidRDefault="005623FE">
            <w:pPr>
              <w:widowControl w:val="0"/>
              <w:spacing w:before="0" w:line="240" w:lineRule="auto"/>
            </w:pPr>
          </w:p>
        </w:tc>
      </w:tr>
      <w:tr w:rsidR="005623FE" w14:paraId="6B8B9A3C" w14:textId="77777777">
        <w:trPr>
          <w:trHeight w:val="465"/>
        </w:trPr>
        <w:tc>
          <w:tcPr>
            <w:tcW w:w="2715" w:type="dxa"/>
            <w:tcMar>
              <w:top w:w="100" w:type="dxa"/>
              <w:left w:w="100" w:type="dxa"/>
              <w:bottom w:w="100" w:type="dxa"/>
              <w:right w:w="100" w:type="dxa"/>
            </w:tcMar>
          </w:tcPr>
          <w:p w14:paraId="28C99CAB" w14:textId="77777777" w:rsidR="005623FE" w:rsidRDefault="00000000">
            <w:pPr>
              <w:widowControl w:val="0"/>
              <w:spacing w:before="0" w:line="240" w:lineRule="auto"/>
            </w:pPr>
            <w:r>
              <w:t xml:space="preserve">Competencia General </w:t>
            </w:r>
          </w:p>
        </w:tc>
        <w:tc>
          <w:tcPr>
            <w:tcW w:w="6645" w:type="dxa"/>
            <w:tcMar>
              <w:top w:w="100" w:type="dxa"/>
              <w:left w:w="100" w:type="dxa"/>
              <w:bottom w:w="100" w:type="dxa"/>
              <w:right w:w="100" w:type="dxa"/>
            </w:tcMar>
          </w:tcPr>
          <w:p w14:paraId="76C1389A" w14:textId="77777777" w:rsidR="00A17514" w:rsidRPr="009A0BDF" w:rsidRDefault="00A17514" w:rsidP="00A17514">
            <w:pPr>
              <w:jc w:val="both"/>
              <w:rPr>
                <w:sz w:val="24"/>
                <w:szCs w:val="24"/>
              </w:rPr>
            </w:pPr>
            <w:r w:rsidRPr="009A0BDF">
              <w:rPr>
                <w:sz w:val="24"/>
                <w:szCs w:val="24"/>
              </w:rPr>
              <w:t>Explica los fundamentos de conectividad, administración y evolución de tecnologías de red y almacenamiento mediante la identificación de componentes clave y su interacción funcional para comprender su rol en infraestructuras tecnológicas actuales</w:t>
            </w:r>
          </w:p>
          <w:p w14:paraId="598C043E" w14:textId="10826DF6" w:rsidR="005623FE" w:rsidRDefault="005623FE">
            <w:pPr>
              <w:widowControl w:val="0"/>
              <w:spacing w:before="0" w:line="240" w:lineRule="auto"/>
            </w:pPr>
          </w:p>
        </w:tc>
      </w:tr>
      <w:tr w:rsidR="005623FE" w14:paraId="420D925B" w14:textId="77777777">
        <w:tc>
          <w:tcPr>
            <w:tcW w:w="2715" w:type="dxa"/>
            <w:tcMar>
              <w:top w:w="100" w:type="dxa"/>
              <w:left w:w="100" w:type="dxa"/>
              <w:bottom w:w="100" w:type="dxa"/>
              <w:right w:w="100" w:type="dxa"/>
            </w:tcMar>
          </w:tcPr>
          <w:p w14:paraId="65A8D639" w14:textId="77777777" w:rsidR="005623FE" w:rsidRDefault="00000000">
            <w:pPr>
              <w:widowControl w:val="0"/>
              <w:spacing w:before="0" w:line="240" w:lineRule="auto"/>
            </w:pPr>
            <w:r>
              <w:t>Competencia Específica</w:t>
            </w:r>
          </w:p>
        </w:tc>
        <w:tc>
          <w:tcPr>
            <w:tcW w:w="6645" w:type="dxa"/>
            <w:tcMar>
              <w:top w:w="100" w:type="dxa"/>
              <w:left w:w="100" w:type="dxa"/>
              <w:bottom w:w="100" w:type="dxa"/>
              <w:right w:w="100" w:type="dxa"/>
            </w:tcMar>
          </w:tcPr>
          <w:p w14:paraId="19F767E7" w14:textId="77777777" w:rsidR="00A17514" w:rsidRPr="009A0BDF" w:rsidRDefault="00A17514" w:rsidP="00A17514">
            <w:pPr>
              <w:jc w:val="both"/>
              <w:rPr>
                <w:sz w:val="28"/>
                <w:szCs w:val="28"/>
              </w:rPr>
            </w:pPr>
            <w:r w:rsidRPr="009A0BDF">
              <w:rPr>
                <w:sz w:val="24"/>
                <w:szCs w:val="24"/>
              </w:rPr>
              <w:t>Analiza soluciones de almacenamiento en entornos híbridos mediante la comparación de sus características operativas y criterios de implementación para seleccionar alternativas que respondan a necesidades de eficiencia, escalabilidad y disponibilidad</w:t>
            </w:r>
          </w:p>
          <w:p w14:paraId="192F2E3D" w14:textId="25827CB8" w:rsidR="005623FE" w:rsidRDefault="005623FE">
            <w:pPr>
              <w:widowControl w:val="0"/>
              <w:spacing w:before="0" w:line="240" w:lineRule="auto"/>
            </w:pPr>
          </w:p>
        </w:tc>
      </w:tr>
    </w:tbl>
    <w:p w14:paraId="1DB48FBE" w14:textId="77777777" w:rsidR="005623FE" w:rsidRDefault="005623FE"/>
    <w:p w14:paraId="32FB27F8" w14:textId="77777777" w:rsidR="005623FE" w:rsidRDefault="00000000">
      <w:pPr>
        <w:pStyle w:val="Heading1"/>
        <w:numPr>
          <w:ilvl w:val="0"/>
          <w:numId w:val="2"/>
        </w:numPr>
      </w:pPr>
      <w:bookmarkStart w:id="3" w:name="_heading=h.o409axbhg7h" w:colFirst="0" w:colLast="0"/>
      <w:bookmarkEnd w:id="3"/>
      <w:r>
        <w:lastRenderedPageBreak/>
        <w:t>Palabras Clave</w:t>
      </w:r>
    </w:p>
    <w:tbl>
      <w:tblPr>
        <w:tblStyle w:val="a1"/>
        <w:tblW w:w="9275" w:type="dxa"/>
        <w:tblInd w:w="0" w:type="dxa"/>
        <w:tblLayout w:type="fixed"/>
        <w:tblLook w:val="0600" w:firstRow="0" w:lastRow="0" w:firstColumn="0" w:lastColumn="0" w:noHBand="1" w:noVBand="1"/>
      </w:tblPr>
      <w:tblGrid>
        <w:gridCol w:w="9275"/>
      </w:tblGrid>
      <w:tr w:rsidR="005623FE" w14:paraId="4AFD122C" w14:textId="77777777">
        <w:trPr>
          <w:trHeight w:val="5719"/>
        </w:trPr>
        <w:tc>
          <w:tcPr>
            <w:tcW w:w="9275" w:type="dxa"/>
            <w:tcMar>
              <w:top w:w="100" w:type="dxa"/>
              <w:left w:w="100" w:type="dxa"/>
              <w:bottom w:w="100" w:type="dxa"/>
              <w:right w:w="100" w:type="dxa"/>
            </w:tcMar>
          </w:tcPr>
          <w:p w14:paraId="6839148E" w14:textId="77777777" w:rsidR="005623FE" w:rsidRDefault="005623FE">
            <w:pPr>
              <w:rPr>
                <w:b/>
                <w:bCs/>
              </w:rPr>
            </w:pPr>
          </w:p>
          <w:tbl>
            <w:tblPr>
              <w:tblStyle w:val="a2"/>
              <w:tblW w:w="9060" w:type="dxa"/>
              <w:tblInd w:w="0" w:type="dxa"/>
              <w:tblLayout w:type="fixed"/>
              <w:tblLook w:val="0600" w:firstRow="0" w:lastRow="0" w:firstColumn="0" w:lastColumn="0" w:noHBand="1" w:noVBand="1"/>
            </w:tblPr>
            <w:tblGrid>
              <w:gridCol w:w="9060"/>
            </w:tblGrid>
            <w:tr w:rsidR="005623FE" w14:paraId="5AC0514F" w14:textId="77777777">
              <w:trPr>
                <w:trHeight w:val="905"/>
              </w:trPr>
              <w:tc>
                <w:tcPr>
                  <w:tcW w:w="9060" w:type="dxa"/>
                  <w:tcMar>
                    <w:top w:w="100" w:type="dxa"/>
                    <w:left w:w="100" w:type="dxa"/>
                    <w:bottom w:w="100" w:type="dxa"/>
                    <w:right w:w="100" w:type="dxa"/>
                  </w:tcMar>
                </w:tcPr>
                <w:p w14:paraId="16DF0E2F" w14:textId="103A6DFE" w:rsidR="00457584" w:rsidRPr="00457584" w:rsidRDefault="00457584" w:rsidP="00457584">
                  <w:pPr>
                    <w:rPr>
                      <w:b/>
                      <w:bCs/>
                      <w:lang w:val="es-MX"/>
                    </w:rPr>
                  </w:pPr>
                  <w:r w:rsidRPr="00457584">
                    <w:rPr>
                      <w:b/>
                      <w:bCs/>
                      <w:lang w:val="es-MX"/>
                    </w:rPr>
                    <w:t xml:space="preserve">Almacenamiento Público: Servicio ofrecido por proveedores externos a través de Internet, caracterizado por su escalabilidad y facilidad de acceso. </w:t>
                  </w:r>
                </w:p>
                <w:p w14:paraId="062FE616" w14:textId="0BE5B247" w:rsidR="00457584" w:rsidRPr="00457584" w:rsidRDefault="00457584" w:rsidP="00457584">
                  <w:pPr>
                    <w:rPr>
                      <w:b/>
                      <w:bCs/>
                      <w:lang w:val="es-MX"/>
                    </w:rPr>
                  </w:pPr>
                  <w:r w:rsidRPr="00457584">
                    <w:rPr>
                      <w:b/>
                      <w:bCs/>
                      <w:lang w:val="es-MX"/>
                    </w:rPr>
                    <w:t xml:space="preserve">Almacenamiento Privado: Infraestructura exclusiva para una organización, enfocada en mayor seguridad y control de los datos. </w:t>
                  </w:r>
                </w:p>
                <w:p w14:paraId="4FE336F6" w14:textId="6959CD4A" w:rsidR="005623FE" w:rsidRPr="00457584" w:rsidRDefault="00457584" w:rsidP="00457584">
                  <w:pPr>
                    <w:rPr>
                      <w:b/>
                      <w:bCs/>
                      <w:lang w:val="es-MX"/>
                    </w:rPr>
                  </w:pPr>
                  <w:r w:rsidRPr="00457584">
                    <w:rPr>
                      <w:b/>
                      <w:bCs/>
                      <w:lang w:val="es-MX"/>
                    </w:rPr>
                    <w:t>Almacenamiento Híbrido: Combinación de nube pública y privada para optimizar recursos, costos y seguridad.</w:t>
                  </w:r>
                </w:p>
              </w:tc>
            </w:tr>
          </w:tbl>
          <w:p w14:paraId="1EFC2AA7" w14:textId="77777777" w:rsidR="005623FE" w:rsidRDefault="005623FE">
            <w:pPr>
              <w:rPr>
                <w:b/>
                <w:bCs/>
              </w:rPr>
            </w:pPr>
          </w:p>
        </w:tc>
      </w:tr>
    </w:tbl>
    <w:p w14:paraId="69AF0317" w14:textId="77777777" w:rsidR="005623FE" w:rsidRDefault="005623FE"/>
    <w:p w14:paraId="7A1672C7" w14:textId="77777777" w:rsidR="005623FE" w:rsidRDefault="00000000">
      <w:pPr>
        <w:pStyle w:val="Heading1"/>
        <w:numPr>
          <w:ilvl w:val="0"/>
          <w:numId w:val="2"/>
        </w:numPr>
      </w:pPr>
      <w:bookmarkStart w:id="4" w:name="_heading=h.4smto5t13lpi" w:colFirst="0" w:colLast="0"/>
      <w:bookmarkEnd w:id="4"/>
      <w:r>
        <w:t>Introducción</w:t>
      </w:r>
    </w:p>
    <w:p w14:paraId="4A3E2BF0" w14:textId="77777777" w:rsidR="005623FE" w:rsidRDefault="005623FE">
      <w:pPr>
        <w:ind w:left="720"/>
      </w:pPr>
    </w:p>
    <w:p w14:paraId="474CF10D" w14:textId="77777777" w:rsidR="00A17514" w:rsidRPr="00A17514" w:rsidRDefault="00A17514" w:rsidP="00A17514">
      <w:pPr>
        <w:pStyle w:val="NormalWeb"/>
        <w:jc w:val="both"/>
        <w:rPr>
          <w:rFonts w:ascii="Arial" w:eastAsia="Proxima Nova" w:hAnsi="Arial" w:cs="Arial"/>
          <w:lang w:val="es"/>
        </w:rPr>
      </w:pPr>
      <w:r w:rsidRPr="00A17514">
        <w:rPr>
          <w:rFonts w:ascii="Arial" w:eastAsia="Proxima Nova" w:hAnsi="Arial" w:cs="Arial"/>
          <w:lang w:val="es"/>
        </w:rPr>
        <w:t>El almacenamiento en la nube es un modelo de almacenamiento de datos en servidores remotos, accesibles a través de Internet. Los proveedores de servicios en la nube gestionan la infraestructura, garantizando disponibilidad, redundancia y seguridad. Este modelo permite a empresas y usuarios evitar la inversión en hardware físico y optimizar costos operativos.</w:t>
      </w:r>
    </w:p>
    <w:p w14:paraId="3D00390D" w14:textId="77777777" w:rsidR="005623FE" w:rsidRPr="00A17514" w:rsidRDefault="005623FE"/>
    <w:p w14:paraId="4C997F50" w14:textId="77777777" w:rsidR="005623FE" w:rsidRDefault="005623FE"/>
    <w:p w14:paraId="37B606DD" w14:textId="77777777" w:rsidR="005623FE" w:rsidRDefault="005623FE"/>
    <w:p w14:paraId="5D322E37" w14:textId="77777777" w:rsidR="005623FE" w:rsidRDefault="005623FE"/>
    <w:p w14:paraId="6923DD54" w14:textId="77777777" w:rsidR="005623FE" w:rsidRDefault="005623FE"/>
    <w:p w14:paraId="1FEEC831" w14:textId="77777777" w:rsidR="005623FE" w:rsidRDefault="00000000">
      <w:pPr>
        <w:pStyle w:val="Heading1"/>
        <w:numPr>
          <w:ilvl w:val="0"/>
          <w:numId w:val="2"/>
        </w:numPr>
      </w:pPr>
      <w:bookmarkStart w:id="5" w:name="_heading=h.x8442ir1r0wx" w:colFirst="0" w:colLast="0"/>
      <w:bookmarkEnd w:id="5"/>
      <w:r>
        <w:lastRenderedPageBreak/>
        <w:t>Contenidos</w:t>
      </w:r>
    </w:p>
    <w:p w14:paraId="2682D020" w14:textId="77777777" w:rsidR="005623FE" w:rsidRDefault="00000000">
      <w:r>
        <w:t>Presentación de temas y subtemas.</w:t>
      </w:r>
    </w:p>
    <w:p w14:paraId="03772AAE" w14:textId="77777777" w:rsidR="005623FE" w:rsidRPr="00820EB2" w:rsidRDefault="00000000">
      <w:pPr>
        <w:pStyle w:val="Heading2"/>
      </w:pPr>
      <w:bookmarkStart w:id="6" w:name="_heading=h.hyyo2k3r7dlh" w:colFirst="0" w:colLast="0"/>
      <w:bookmarkEnd w:id="6"/>
      <w:r w:rsidRPr="00820EB2">
        <w:t>Seguridad en el Almacenamiento</w:t>
      </w:r>
    </w:p>
    <w:p w14:paraId="4440F8E6" w14:textId="058138D8" w:rsidR="005623FE" w:rsidRPr="00820EB2" w:rsidRDefault="00000000" w:rsidP="00820EB2">
      <w:pPr>
        <w:spacing w:before="0" w:after="240"/>
      </w:pPr>
      <w:r w:rsidRPr="00820EB2">
        <w:t xml:space="preserve">La seguridad en el almacenamiento se refiere a las prácticas y tecnologías utilizadas para proteger los datos guardados en sistemas informáticos, servidores, bases de datos, dispositivos físicos o plataformas en la nube. Su objetivo principal es evitar que la información sea </w:t>
      </w:r>
    </w:p>
    <w:p w14:paraId="0B79D91D" w14:textId="77777777" w:rsidR="00820EB2" w:rsidRPr="00820EB2" w:rsidRDefault="00820EB2" w:rsidP="00820EB2">
      <w:pPr>
        <w:pStyle w:val="Heading2"/>
      </w:pPr>
      <w:bookmarkStart w:id="7" w:name="_Toc199273956"/>
      <w:r w:rsidRPr="00820EB2">
        <w:t>Contenido</w:t>
      </w:r>
      <w:bookmarkEnd w:id="7"/>
    </w:p>
    <w:p w14:paraId="5C8AE0A3" w14:textId="77777777" w:rsidR="00820EB2" w:rsidRPr="00820EB2" w:rsidRDefault="00820EB2" w:rsidP="00820EB2">
      <w:pPr>
        <w:pStyle w:val="Heading2"/>
        <w:rPr>
          <w:color w:val="auto"/>
        </w:rPr>
      </w:pPr>
      <w:bookmarkStart w:id="8" w:name="_Toc199273957"/>
      <w:r w:rsidRPr="00820EB2">
        <w:rPr>
          <w:color w:val="auto"/>
        </w:rPr>
        <w:t>Modelos de Almacenamiento en la Nube</w:t>
      </w:r>
      <w:bookmarkEnd w:id="8"/>
    </w:p>
    <w:p w14:paraId="56D8A268" w14:textId="77777777" w:rsidR="00820EB2" w:rsidRPr="00820EB2" w:rsidRDefault="00820EB2" w:rsidP="00820EB2">
      <w:pPr>
        <w:pStyle w:val="NormalWeb"/>
        <w:numPr>
          <w:ilvl w:val="0"/>
          <w:numId w:val="4"/>
        </w:numPr>
        <w:jc w:val="both"/>
        <w:rPr>
          <w:rFonts w:ascii="Arial" w:hAnsi="Arial" w:cs="Arial"/>
        </w:rPr>
      </w:pPr>
      <w:r w:rsidRPr="00820EB2">
        <w:rPr>
          <w:rStyle w:val="Strong"/>
          <w:rFonts w:ascii="Arial" w:eastAsiaTheme="majorEastAsia" w:hAnsi="Arial" w:cs="Arial"/>
        </w:rPr>
        <w:t>Almacenamiento Público</w:t>
      </w:r>
      <w:r w:rsidRPr="00820EB2">
        <w:rPr>
          <w:rFonts w:ascii="Arial" w:hAnsi="Arial" w:cs="Arial"/>
        </w:rPr>
        <w:t>: Proporcionado por terceros como AWS S3, Google Cloud Storage y Microsoft Azure. Ofrece escalabilidad y costos bajos, pero con menos control sobre la seguridad y privacidad de los datos.</w:t>
      </w:r>
    </w:p>
    <w:p w14:paraId="4FDB5DC6" w14:textId="77777777" w:rsidR="00820EB2" w:rsidRPr="00820EB2" w:rsidRDefault="00820EB2" w:rsidP="00820EB2">
      <w:pPr>
        <w:pStyle w:val="NormalWeb"/>
        <w:numPr>
          <w:ilvl w:val="0"/>
          <w:numId w:val="4"/>
        </w:numPr>
        <w:jc w:val="both"/>
        <w:rPr>
          <w:rFonts w:ascii="Arial" w:hAnsi="Arial" w:cs="Arial"/>
        </w:rPr>
      </w:pPr>
      <w:r w:rsidRPr="00820EB2">
        <w:rPr>
          <w:rStyle w:val="Strong"/>
          <w:rFonts w:ascii="Arial" w:eastAsiaTheme="majorEastAsia" w:hAnsi="Arial" w:cs="Arial"/>
        </w:rPr>
        <w:t>Almacenamiento Privado</w:t>
      </w:r>
      <w:r w:rsidRPr="00820EB2">
        <w:rPr>
          <w:rFonts w:ascii="Arial" w:hAnsi="Arial" w:cs="Arial"/>
        </w:rPr>
        <w:t xml:space="preserve">: Infraestructura dedicada utilizada por una sola organización. Ofrece mayor seguridad y personalización, pero implica mayores costos y mantenimiento. Ejemplos incluyen </w:t>
      </w:r>
      <w:proofErr w:type="spellStart"/>
      <w:r w:rsidRPr="00820EB2">
        <w:rPr>
          <w:rFonts w:ascii="Arial" w:hAnsi="Arial" w:cs="Arial"/>
        </w:rPr>
        <w:t>OpenStack</w:t>
      </w:r>
      <w:proofErr w:type="spellEnd"/>
      <w:r w:rsidRPr="00820EB2">
        <w:rPr>
          <w:rFonts w:ascii="Arial" w:hAnsi="Arial" w:cs="Arial"/>
        </w:rPr>
        <w:t xml:space="preserve"> y VMware.</w:t>
      </w:r>
    </w:p>
    <w:p w14:paraId="2DA967A5" w14:textId="77777777" w:rsidR="00820EB2" w:rsidRPr="00820EB2" w:rsidRDefault="00820EB2" w:rsidP="00820EB2">
      <w:pPr>
        <w:pStyle w:val="NormalWeb"/>
        <w:numPr>
          <w:ilvl w:val="0"/>
          <w:numId w:val="4"/>
        </w:numPr>
        <w:jc w:val="both"/>
        <w:rPr>
          <w:rFonts w:ascii="Arial" w:hAnsi="Arial" w:cs="Arial"/>
        </w:rPr>
      </w:pPr>
      <w:r w:rsidRPr="00820EB2">
        <w:rPr>
          <w:rStyle w:val="Strong"/>
          <w:rFonts w:ascii="Arial" w:eastAsiaTheme="majorEastAsia" w:hAnsi="Arial" w:cs="Arial"/>
        </w:rPr>
        <w:t>Almacenamiento Híbrido</w:t>
      </w:r>
      <w:r w:rsidRPr="00820EB2">
        <w:rPr>
          <w:rFonts w:ascii="Arial" w:hAnsi="Arial" w:cs="Arial"/>
        </w:rPr>
        <w:t>: Combinación de almacenamiento público y privado, permitiendo flexibilidad y optimización de costos. Microsoft Azure y IBM Cloud ofrecen soluciones híbridas que permiten migrar datos entre entornos.</w:t>
      </w:r>
    </w:p>
    <w:p w14:paraId="56FA024D" w14:textId="15821A19" w:rsidR="00820EB2" w:rsidRPr="00820EB2" w:rsidRDefault="00820EB2" w:rsidP="00820EB2">
      <w:pPr>
        <w:pStyle w:val="Heading2"/>
        <w:rPr>
          <w:rStyle w:val="Strong"/>
        </w:rPr>
      </w:pPr>
      <w:bookmarkStart w:id="9" w:name="_Toc193092885"/>
      <w:bookmarkStart w:id="10" w:name="_Toc199273958"/>
      <w:r>
        <w:rPr>
          <w:rStyle w:val="Strong"/>
        </w:rPr>
        <w:t>E</w:t>
      </w:r>
      <w:r w:rsidRPr="00820EB2">
        <w:rPr>
          <w:rStyle w:val="Strong"/>
        </w:rPr>
        <w:t>n la Nube</w:t>
      </w:r>
      <w:bookmarkEnd w:id="9"/>
      <w:bookmarkEnd w:id="10"/>
    </w:p>
    <w:p w14:paraId="50372A40" w14:textId="77777777" w:rsidR="00820EB2" w:rsidRPr="00820EB2" w:rsidRDefault="00820EB2" w:rsidP="00820EB2">
      <w:pPr>
        <w:pStyle w:val="NormalWeb"/>
        <w:numPr>
          <w:ilvl w:val="0"/>
          <w:numId w:val="5"/>
        </w:numPr>
        <w:jc w:val="both"/>
        <w:rPr>
          <w:rFonts w:ascii="Arial" w:hAnsi="Arial" w:cs="Arial"/>
        </w:rPr>
      </w:pPr>
      <w:r w:rsidRPr="00820EB2">
        <w:rPr>
          <w:rStyle w:val="Strong"/>
          <w:rFonts w:ascii="Arial" w:eastAsiaTheme="majorEastAsia" w:hAnsi="Arial" w:cs="Arial"/>
        </w:rPr>
        <w:t>Escalabilidad</w:t>
      </w:r>
      <w:r w:rsidRPr="00820EB2">
        <w:rPr>
          <w:rFonts w:ascii="Arial" w:hAnsi="Arial" w:cs="Arial"/>
        </w:rPr>
        <w:t>: Ajuste dinámico de recursos según la demanda.</w:t>
      </w:r>
    </w:p>
    <w:p w14:paraId="6F5CB0C4" w14:textId="77777777" w:rsidR="00820EB2" w:rsidRPr="00820EB2" w:rsidRDefault="00820EB2" w:rsidP="00820EB2">
      <w:pPr>
        <w:pStyle w:val="NormalWeb"/>
        <w:numPr>
          <w:ilvl w:val="0"/>
          <w:numId w:val="5"/>
        </w:numPr>
        <w:jc w:val="both"/>
        <w:rPr>
          <w:rFonts w:ascii="Arial" w:hAnsi="Arial" w:cs="Arial"/>
        </w:rPr>
      </w:pPr>
      <w:r w:rsidRPr="00820EB2">
        <w:rPr>
          <w:rStyle w:val="Strong"/>
          <w:rFonts w:ascii="Arial" w:eastAsiaTheme="majorEastAsia" w:hAnsi="Arial" w:cs="Arial"/>
        </w:rPr>
        <w:t>Accesibilidad</w:t>
      </w:r>
      <w:r w:rsidRPr="00820EB2">
        <w:rPr>
          <w:rFonts w:ascii="Arial" w:hAnsi="Arial" w:cs="Arial"/>
        </w:rPr>
        <w:t>: Acceso a datos desde cualquier lugar con conexión a Internet.</w:t>
      </w:r>
    </w:p>
    <w:p w14:paraId="51F62F09" w14:textId="77777777" w:rsidR="00820EB2" w:rsidRPr="00820EB2" w:rsidRDefault="00820EB2" w:rsidP="00820EB2">
      <w:pPr>
        <w:pStyle w:val="NormalWeb"/>
        <w:numPr>
          <w:ilvl w:val="0"/>
          <w:numId w:val="5"/>
        </w:numPr>
        <w:jc w:val="both"/>
        <w:rPr>
          <w:rFonts w:ascii="Arial" w:hAnsi="Arial" w:cs="Arial"/>
        </w:rPr>
      </w:pPr>
      <w:r w:rsidRPr="00820EB2">
        <w:rPr>
          <w:rStyle w:val="Strong"/>
          <w:rFonts w:ascii="Arial" w:eastAsiaTheme="majorEastAsia" w:hAnsi="Arial" w:cs="Arial"/>
        </w:rPr>
        <w:t>Ahorro de costos</w:t>
      </w:r>
      <w:r w:rsidRPr="00820EB2">
        <w:rPr>
          <w:rFonts w:ascii="Arial" w:hAnsi="Arial" w:cs="Arial"/>
        </w:rPr>
        <w:t>: Reducción de inversiones en infraestructura local.</w:t>
      </w:r>
    </w:p>
    <w:p w14:paraId="6C775265" w14:textId="77777777" w:rsidR="00820EB2" w:rsidRPr="00820EB2" w:rsidRDefault="00820EB2" w:rsidP="00820EB2">
      <w:pPr>
        <w:pStyle w:val="NormalWeb"/>
        <w:numPr>
          <w:ilvl w:val="0"/>
          <w:numId w:val="5"/>
        </w:numPr>
        <w:jc w:val="both"/>
        <w:rPr>
          <w:rFonts w:ascii="Arial" w:hAnsi="Arial" w:cs="Arial"/>
        </w:rPr>
      </w:pPr>
      <w:r w:rsidRPr="00820EB2">
        <w:rPr>
          <w:rStyle w:val="Strong"/>
          <w:rFonts w:ascii="Arial" w:eastAsiaTheme="majorEastAsia" w:hAnsi="Arial" w:cs="Arial"/>
        </w:rPr>
        <w:t>Colaboración</w:t>
      </w:r>
      <w:r w:rsidRPr="00820EB2">
        <w:rPr>
          <w:rFonts w:ascii="Arial" w:hAnsi="Arial" w:cs="Arial"/>
        </w:rPr>
        <w:t>: Trabajo en tiempo real con equipos distribuidos globalmente.</w:t>
      </w:r>
    </w:p>
    <w:p w14:paraId="38A0DCA3" w14:textId="77777777" w:rsidR="00820EB2" w:rsidRPr="00820EB2" w:rsidRDefault="00820EB2" w:rsidP="00820EB2">
      <w:pPr>
        <w:pStyle w:val="NormalWeb"/>
        <w:numPr>
          <w:ilvl w:val="0"/>
          <w:numId w:val="5"/>
        </w:numPr>
        <w:jc w:val="both"/>
        <w:rPr>
          <w:rFonts w:ascii="Arial" w:hAnsi="Arial" w:cs="Arial"/>
        </w:rPr>
      </w:pPr>
      <w:r w:rsidRPr="00820EB2">
        <w:rPr>
          <w:rStyle w:val="Strong"/>
          <w:rFonts w:ascii="Arial" w:eastAsiaTheme="majorEastAsia" w:hAnsi="Arial" w:cs="Arial"/>
        </w:rPr>
        <w:t>Seguridad</w:t>
      </w:r>
      <w:r w:rsidRPr="00820EB2">
        <w:rPr>
          <w:rFonts w:ascii="Arial" w:hAnsi="Arial" w:cs="Arial"/>
        </w:rPr>
        <w:t>: Implementación de cifrado y autenticación avanzada por parte de los proveedores.</w:t>
      </w:r>
    </w:p>
    <w:p w14:paraId="0E3D1B15" w14:textId="77777777" w:rsidR="00820EB2" w:rsidRPr="00820EB2" w:rsidRDefault="00820EB2" w:rsidP="00820EB2">
      <w:pPr>
        <w:pStyle w:val="Heading2"/>
        <w:rPr>
          <w:rStyle w:val="Strong"/>
        </w:rPr>
      </w:pPr>
      <w:bookmarkStart w:id="11" w:name="_Toc193092886"/>
      <w:bookmarkStart w:id="12" w:name="_Toc199273959"/>
      <w:r w:rsidRPr="00820EB2">
        <w:rPr>
          <w:rStyle w:val="Strong"/>
        </w:rPr>
        <w:t>Desafíos Comunes</w:t>
      </w:r>
      <w:bookmarkEnd w:id="11"/>
      <w:bookmarkEnd w:id="12"/>
    </w:p>
    <w:p w14:paraId="59449B24" w14:textId="77777777" w:rsidR="00820EB2" w:rsidRPr="00820EB2" w:rsidRDefault="00820EB2" w:rsidP="00820EB2">
      <w:pPr>
        <w:pStyle w:val="NormalWeb"/>
        <w:numPr>
          <w:ilvl w:val="0"/>
          <w:numId w:val="6"/>
        </w:numPr>
        <w:jc w:val="both"/>
        <w:rPr>
          <w:rFonts w:ascii="Arial" w:hAnsi="Arial" w:cs="Arial"/>
        </w:rPr>
      </w:pPr>
      <w:r w:rsidRPr="00820EB2">
        <w:rPr>
          <w:rStyle w:val="Strong"/>
          <w:rFonts w:ascii="Arial" w:eastAsiaTheme="majorEastAsia" w:hAnsi="Arial" w:cs="Arial"/>
        </w:rPr>
        <w:t>Seguridad y privacidad</w:t>
      </w:r>
      <w:r w:rsidRPr="00820EB2">
        <w:rPr>
          <w:rFonts w:ascii="Arial" w:hAnsi="Arial" w:cs="Arial"/>
        </w:rPr>
        <w:t>: Dependencia de terceros para la protección de datos.</w:t>
      </w:r>
    </w:p>
    <w:p w14:paraId="38009BDB" w14:textId="77777777" w:rsidR="00820EB2" w:rsidRPr="00820EB2" w:rsidRDefault="00820EB2" w:rsidP="00820EB2">
      <w:pPr>
        <w:pStyle w:val="NormalWeb"/>
        <w:numPr>
          <w:ilvl w:val="0"/>
          <w:numId w:val="6"/>
        </w:numPr>
        <w:jc w:val="both"/>
        <w:rPr>
          <w:rFonts w:ascii="Arial" w:hAnsi="Arial" w:cs="Arial"/>
        </w:rPr>
      </w:pPr>
      <w:r w:rsidRPr="00820EB2">
        <w:rPr>
          <w:rStyle w:val="Strong"/>
          <w:rFonts w:ascii="Arial" w:eastAsiaTheme="majorEastAsia" w:hAnsi="Arial" w:cs="Arial"/>
        </w:rPr>
        <w:t>Latencia</w:t>
      </w:r>
      <w:r w:rsidRPr="00820EB2">
        <w:rPr>
          <w:rFonts w:ascii="Arial" w:hAnsi="Arial" w:cs="Arial"/>
        </w:rPr>
        <w:t>: Dependencia de la conexión a Internet para acceder a los datos.</w:t>
      </w:r>
    </w:p>
    <w:p w14:paraId="0A67E9FE" w14:textId="77777777" w:rsidR="00820EB2" w:rsidRPr="00820EB2" w:rsidRDefault="00820EB2" w:rsidP="00820EB2">
      <w:pPr>
        <w:pStyle w:val="NormalWeb"/>
        <w:numPr>
          <w:ilvl w:val="0"/>
          <w:numId w:val="6"/>
        </w:numPr>
        <w:jc w:val="both"/>
        <w:rPr>
          <w:rFonts w:ascii="Arial" w:hAnsi="Arial" w:cs="Arial"/>
        </w:rPr>
      </w:pPr>
      <w:r w:rsidRPr="00820EB2">
        <w:rPr>
          <w:rStyle w:val="Strong"/>
          <w:rFonts w:ascii="Arial" w:eastAsiaTheme="majorEastAsia" w:hAnsi="Arial" w:cs="Arial"/>
        </w:rPr>
        <w:t>Cumplimiento normativo</w:t>
      </w:r>
      <w:r w:rsidRPr="00820EB2">
        <w:rPr>
          <w:rFonts w:ascii="Arial" w:hAnsi="Arial" w:cs="Arial"/>
        </w:rPr>
        <w:t>: Cumplimiento de regulaciones como GDPR o HIPAA.</w:t>
      </w:r>
    </w:p>
    <w:p w14:paraId="4F88690C" w14:textId="77777777" w:rsidR="00820EB2" w:rsidRPr="00820EB2" w:rsidRDefault="00820EB2" w:rsidP="00820EB2">
      <w:pPr>
        <w:pStyle w:val="NormalWeb"/>
        <w:numPr>
          <w:ilvl w:val="0"/>
          <w:numId w:val="6"/>
        </w:numPr>
        <w:jc w:val="both"/>
        <w:rPr>
          <w:rFonts w:ascii="Arial" w:hAnsi="Arial" w:cs="Arial"/>
        </w:rPr>
      </w:pPr>
      <w:r w:rsidRPr="00820EB2">
        <w:rPr>
          <w:rStyle w:val="Strong"/>
          <w:rFonts w:ascii="Arial" w:eastAsiaTheme="majorEastAsia" w:hAnsi="Arial" w:cs="Arial"/>
        </w:rPr>
        <w:t>Dependencia del proveedor</w:t>
      </w:r>
      <w:r w:rsidRPr="00820EB2">
        <w:rPr>
          <w:rFonts w:ascii="Arial" w:hAnsi="Arial" w:cs="Arial"/>
        </w:rPr>
        <w:t>: Riesgo de bloqueo de proveedor por incompatibilidades o costos ocultos.</w:t>
      </w:r>
    </w:p>
    <w:p w14:paraId="3F32DEE8" w14:textId="77777777" w:rsidR="00820EB2" w:rsidRPr="00820EB2" w:rsidRDefault="00820EB2" w:rsidP="00820EB2">
      <w:pPr>
        <w:pStyle w:val="Heading2"/>
        <w:rPr>
          <w:color w:val="0B5394"/>
        </w:rPr>
      </w:pPr>
      <w:bookmarkStart w:id="13" w:name="_Toc199273960"/>
      <w:r w:rsidRPr="00820EB2">
        <w:rPr>
          <w:color w:val="0B5394"/>
        </w:rPr>
        <w:lastRenderedPageBreak/>
        <w:t>Pongamos en Práctica la Teoría</w:t>
      </w:r>
      <w:bookmarkEnd w:id="13"/>
    </w:p>
    <w:p w14:paraId="1D9E3330" w14:textId="77777777" w:rsidR="00820EB2" w:rsidRPr="00820EB2" w:rsidRDefault="00820EB2" w:rsidP="00820EB2">
      <w:pPr>
        <w:pStyle w:val="Heading3"/>
        <w:rPr>
          <w:color w:val="BF9000"/>
        </w:rPr>
      </w:pPr>
      <w:bookmarkStart w:id="14" w:name="_Toc199273961"/>
      <w:r w:rsidRPr="00820EB2">
        <w:rPr>
          <w:color w:val="BF9000"/>
        </w:rPr>
        <w:t>Caso de Estudio 1</w:t>
      </w:r>
      <w:bookmarkEnd w:id="14"/>
    </w:p>
    <w:p w14:paraId="591E8829" w14:textId="77777777" w:rsidR="00820EB2" w:rsidRPr="00820EB2" w:rsidRDefault="00820EB2" w:rsidP="00820EB2">
      <w:pPr>
        <w:pStyle w:val="Heading3"/>
        <w:rPr>
          <w:rStyle w:val="Strong"/>
        </w:rPr>
      </w:pPr>
      <w:bookmarkStart w:id="15" w:name="_Toc193092888"/>
      <w:bookmarkStart w:id="16" w:name="_Toc199273962"/>
      <w:r w:rsidRPr="00820EB2">
        <w:rPr>
          <w:rStyle w:val="Strong"/>
        </w:rPr>
        <w:t>Almacenamiento en la Nube en la Industria de la Salud</w:t>
      </w:r>
      <w:bookmarkEnd w:id="15"/>
      <w:bookmarkEnd w:id="16"/>
    </w:p>
    <w:p w14:paraId="035A70EE" w14:textId="77777777" w:rsidR="00820EB2" w:rsidRPr="00820EB2" w:rsidRDefault="00820EB2" w:rsidP="00820EB2">
      <w:pPr>
        <w:pStyle w:val="NormalWeb"/>
        <w:numPr>
          <w:ilvl w:val="2"/>
          <w:numId w:val="7"/>
        </w:numPr>
        <w:jc w:val="both"/>
        <w:rPr>
          <w:rFonts w:ascii="Arial" w:hAnsi="Arial" w:cs="Arial"/>
        </w:rPr>
      </w:pPr>
      <w:r w:rsidRPr="00820EB2">
        <w:rPr>
          <w:rFonts w:ascii="Arial" w:hAnsi="Arial" w:cs="Arial"/>
        </w:rPr>
        <w:t>Un hospital utiliza AWS para almacenar historiales clínicos. Se implementan permisos de acceso para garantizar que solo personal autorizado pueda acceder a la información sensible, cumpliendo con normativas de privacidad como HIPAA.</w:t>
      </w:r>
    </w:p>
    <w:p w14:paraId="3FAAFA61" w14:textId="77777777" w:rsidR="00820EB2" w:rsidRPr="00820EB2" w:rsidRDefault="00820EB2" w:rsidP="00820EB2">
      <w:pPr>
        <w:pStyle w:val="Heading3"/>
      </w:pPr>
      <w:bookmarkStart w:id="17" w:name="_Toc193092889"/>
      <w:bookmarkStart w:id="18" w:name="_Toc199273963"/>
      <w:r w:rsidRPr="00820EB2">
        <w:rPr>
          <w:rStyle w:val="Strong"/>
        </w:rPr>
        <w:t>Gestión de Datos en una Empresa Multinacional</w:t>
      </w:r>
      <w:bookmarkEnd w:id="17"/>
      <w:bookmarkEnd w:id="18"/>
    </w:p>
    <w:p w14:paraId="1D54439E" w14:textId="77777777" w:rsidR="00820EB2" w:rsidRPr="00820EB2" w:rsidRDefault="00820EB2" w:rsidP="00820EB2">
      <w:pPr>
        <w:pStyle w:val="NormalWeb"/>
        <w:numPr>
          <w:ilvl w:val="1"/>
          <w:numId w:val="7"/>
        </w:numPr>
        <w:jc w:val="both"/>
        <w:rPr>
          <w:rFonts w:ascii="Arial" w:hAnsi="Arial" w:cs="Arial"/>
        </w:rPr>
      </w:pPr>
      <w:r w:rsidRPr="00820EB2">
        <w:rPr>
          <w:rFonts w:ascii="Arial" w:hAnsi="Arial" w:cs="Arial"/>
        </w:rPr>
        <w:t>Una corporación utiliza Microsoft Azure para gestionar datos en varias regiones. Mediante soluciones híbridas, los datos sensibles se almacenan en servidores privados, mientras que los documentos de trabajo están en la nube pública.</w:t>
      </w:r>
    </w:p>
    <w:p w14:paraId="44B2B8D9" w14:textId="77777777" w:rsidR="00820EB2" w:rsidRPr="00820EB2" w:rsidRDefault="00820EB2" w:rsidP="00820EB2">
      <w:pPr>
        <w:pStyle w:val="Heading3"/>
      </w:pPr>
      <w:bookmarkStart w:id="19" w:name="_Toc193092890"/>
      <w:bookmarkStart w:id="20" w:name="_Toc199273964"/>
      <w:r w:rsidRPr="00820EB2">
        <w:rPr>
          <w:rStyle w:val="Strong"/>
        </w:rPr>
        <w:t>Optimización de Recursos en Startups Tecnológicas</w:t>
      </w:r>
      <w:bookmarkEnd w:id="19"/>
      <w:bookmarkEnd w:id="20"/>
    </w:p>
    <w:p w14:paraId="176A3C5E" w14:textId="77777777" w:rsidR="00820EB2" w:rsidRPr="00820EB2" w:rsidRDefault="00820EB2" w:rsidP="00820EB2">
      <w:pPr>
        <w:pStyle w:val="NormalWeb"/>
        <w:numPr>
          <w:ilvl w:val="1"/>
          <w:numId w:val="7"/>
        </w:numPr>
        <w:jc w:val="both"/>
        <w:rPr>
          <w:rFonts w:ascii="Arial" w:hAnsi="Arial" w:cs="Arial"/>
        </w:rPr>
      </w:pPr>
      <w:proofErr w:type="gramStart"/>
      <w:r w:rsidRPr="00820EB2">
        <w:rPr>
          <w:rFonts w:ascii="Arial" w:hAnsi="Arial" w:cs="Arial"/>
        </w:rPr>
        <w:t>Un startup</w:t>
      </w:r>
      <w:proofErr w:type="gramEnd"/>
      <w:r w:rsidRPr="00820EB2">
        <w:rPr>
          <w:rFonts w:ascii="Arial" w:hAnsi="Arial" w:cs="Arial"/>
        </w:rPr>
        <w:t xml:space="preserve"> de desarrollo de software usa Google Cloud para almacenamiento y procesamiento de datos. Se aprovechan herramientas de inteligencia artificial para optimizar costos y mejorar la escalabilidad del negocio.</w:t>
      </w:r>
    </w:p>
    <w:p w14:paraId="0B995611" w14:textId="77777777" w:rsidR="005623FE" w:rsidRPr="00820EB2" w:rsidRDefault="005623FE">
      <w:pPr>
        <w:rPr>
          <w:lang w:val="es-GT"/>
        </w:rPr>
      </w:pPr>
    </w:p>
    <w:p w14:paraId="122D2AF2" w14:textId="77777777" w:rsidR="00820EB2" w:rsidRDefault="00820EB2"/>
    <w:p w14:paraId="345DBF1F" w14:textId="77777777" w:rsidR="00820EB2" w:rsidRDefault="00820EB2"/>
    <w:p w14:paraId="2C7C2663" w14:textId="64B61988" w:rsidR="005623FE" w:rsidRDefault="00000000" w:rsidP="00820EB2">
      <w:pPr>
        <w:pStyle w:val="Heading1"/>
        <w:numPr>
          <w:ilvl w:val="0"/>
          <w:numId w:val="2"/>
        </w:numPr>
      </w:pPr>
      <w:bookmarkStart w:id="21" w:name="_heading=h.619guitdd5oi" w:colFirst="0" w:colLast="0"/>
      <w:bookmarkEnd w:id="21"/>
      <w:r>
        <w:t>Conclusiones</w:t>
      </w:r>
    </w:p>
    <w:p w14:paraId="47FF836D" w14:textId="77777777" w:rsidR="00A17514" w:rsidRPr="00820EB2" w:rsidRDefault="00A17514" w:rsidP="00A17514">
      <w:pPr>
        <w:pStyle w:val="NormalWeb"/>
        <w:jc w:val="both"/>
        <w:rPr>
          <w:rFonts w:ascii="Arial" w:eastAsia="Proxima Nova" w:hAnsi="Arial" w:cs="Arial"/>
          <w:color w:val="666666"/>
          <w:lang w:val="es"/>
        </w:rPr>
      </w:pPr>
      <w:r w:rsidRPr="00820EB2">
        <w:rPr>
          <w:rFonts w:ascii="Arial" w:eastAsia="Proxima Nova" w:hAnsi="Arial" w:cs="Arial"/>
          <w:color w:val="666666"/>
          <w:lang w:val="es"/>
        </w:rPr>
        <w:t>El almacenamiento en la nube es una herramienta fundamental en la era digital, permitiendo a individuos y empresas gestionar datos de manera eficiente, segura y escalable. A pesar de sus desafíos, la adopción de estrategias adecuadas y la comprensión de los modelos disponibles permitirán maximizar sus beneficios y enfrentar los retos del futuro tecnológico.</w:t>
      </w:r>
    </w:p>
    <w:p w14:paraId="25FFBB43" w14:textId="77777777" w:rsidR="005623FE" w:rsidRDefault="005623FE"/>
    <w:p w14:paraId="5EBFB787" w14:textId="77777777" w:rsidR="005623FE" w:rsidRDefault="00000000">
      <w:pPr>
        <w:pStyle w:val="Heading1"/>
        <w:numPr>
          <w:ilvl w:val="0"/>
          <w:numId w:val="2"/>
        </w:numPr>
      </w:pPr>
      <w:bookmarkStart w:id="22" w:name="_heading=h.igmxx19d8x1s" w:colFirst="0" w:colLast="0"/>
      <w:bookmarkEnd w:id="22"/>
      <w:r>
        <w:t>Referencias</w:t>
      </w:r>
    </w:p>
    <w:p w14:paraId="7BF0AD1A" w14:textId="77777777" w:rsidR="005623FE" w:rsidRDefault="005623FE">
      <w:pPr>
        <w:ind w:left="720"/>
      </w:pPr>
    </w:p>
    <w:p w14:paraId="5B2DB056" w14:textId="289A0A07" w:rsidR="005623FE" w:rsidRDefault="00000000">
      <w:pPr>
        <w:numPr>
          <w:ilvl w:val="0"/>
          <w:numId w:val="1"/>
        </w:numPr>
        <w:spacing w:before="0"/>
        <w:jc w:val="both"/>
      </w:pPr>
      <w:r>
        <w:t xml:space="preserve">Lectura </w:t>
      </w:r>
      <w:r w:rsidR="00A17514">
        <w:t>x</w:t>
      </w:r>
    </w:p>
    <w:p w14:paraId="18B1E9DB" w14:textId="77777777" w:rsidR="005623FE" w:rsidRDefault="005623FE">
      <w:pPr>
        <w:spacing w:before="0"/>
        <w:ind w:left="720"/>
        <w:jc w:val="both"/>
      </w:pPr>
    </w:p>
    <w:sectPr w:rsidR="005623FE">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EEA7" w14:textId="77777777" w:rsidR="002A469F" w:rsidRDefault="002A469F">
      <w:pPr>
        <w:spacing w:before="0" w:line="240" w:lineRule="auto"/>
      </w:pPr>
      <w:r>
        <w:separator/>
      </w:r>
    </w:p>
  </w:endnote>
  <w:endnote w:type="continuationSeparator" w:id="0">
    <w:p w14:paraId="76AED249" w14:textId="77777777" w:rsidR="002A469F" w:rsidRDefault="002A46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DB52E06D-70B9-4F1A-97DA-36C346FA900B}"/>
    <w:embedItalic r:id="rId2" w:fontKey="{55CFF5ED-8147-4F91-91D5-724B7B02E00A}"/>
  </w:font>
  <w:font w:name="Proxima Nova">
    <w:altName w:val="Tahoma"/>
    <w:charset w:val="00"/>
    <w:family w:val="auto"/>
    <w:pitch w:val="default"/>
    <w:embedRegular r:id="rId3" w:fontKey="{0F326454-BC87-4ED7-9987-B85281527F60}"/>
    <w:embedBold r:id="rId4" w:fontKey="{C8315261-37B2-4962-AE1F-2021577B4FD2}"/>
  </w:font>
  <w:font w:name="Calibri">
    <w:panose1 w:val="020F0502020204030204"/>
    <w:charset w:val="00"/>
    <w:family w:val="swiss"/>
    <w:pitch w:val="variable"/>
    <w:sig w:usb0="E4002EFF" w:usb1="C200247B" w:usb2="00000009" w:usb3="00000000" w:csb0="000001FF" w:csb1="00000000"/>
    <w:embedRegular r:id="rId5" w:fontKey="{CC2F8437-5BD0-4769-850C-2678B5A2D062}"/>
  </w:font>
  <w:font w:name="Cambria">
    <w:panose1 w:val="02040503050406030204"/>
    <w:charset w:val="00"/>
    <w:family w:val="roman"/>
    <w:pitch w:val="variable"/>
    <w:sig w:usb0="E00006FF" w:usb1="420024FF" w:usb2="02000000" w:usb3="00000000" w:csb0="0000019F" w:csb1="00000000"/>
    <w:embedRegular r:id="rId6" w:fontKey="{362F269F-F040-49E6-84AA-7C55090C6F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D489" w14:textId="77777777" w:rsidR="005623FE" w:rsidRDefault="00000000">
    <w:pPr>
      <w:pBdr>
        <w:top w:val="nil"/>
        <w:left w:val="nil"/>
        <w:bottom w:val="nil"/>
        <w:right w:val="nil"/>
        <w:between w:val="nil"/>
      </w:pBdr>
      <w:jc w:val="right"/>
    </w:pPr>
    <w:r>
      <w:fldChar w:fldCharType="begin"/>
    </w:r>
    <w:r>
      <w:instrText>PAGE</w:instrText>
    </w:r>
    <w:r>
      <w:fldChar w:fldCharType="separate"/>
    </w:r>
    <w:r w:rsidR="00673962">
      <w:rPr>
        <w:noProof/>
      </w:rPr>
      <w:t>1</w:t>
    </w:r>
    <w:r>
      <w:fldChar w:fldCharType="end"/>
    </w:r>
    <w:r>
      <w:rPr>
        <w:noProof/>
      </w:rPr>
      <w:drawing>
        <wp:anchor distT="0" distB="0" distL="0" distR="0" simplePos="0" relativeHeight="251662336" behindDoc="0" locked="0" layoutInCell="1" hidden="0" allowOverlap="1" wp14:anchorId="62593529" wp14:editId="13594548">
          <wp:simplePos x="0" y="0"/>
          <wp:positionH relativeFrom="column">
            <wp:posOffset>-914398</wp:posOffset>
          </wp:positionH>
          <wp:positionV relativeFrom="paragraph">
            <wp:posOffset>438150</wp:posOffset>
          </wp:positionV>
          <wp:extent cx="7781925" cy="409575"/>
          <wp:effectExtent l="0" t="0" r="0" b="0"/>
          <wp:wrapTopAndBottom distT="0" distB="0"/>
          <wp:docPr id="5"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BCE1" w14:textId="77777777" w:rsidR="005623FE" w:rsidRDefault="00000000">
    <w:pPr>
      <w:pBdr>
        <w:top w:val="nil"/>
        <w:left w:val="nil"/>
        <w:bottom w:val="nil"/>
        <w:right w:val="nil"/>
        <w:between w:val="nil"/>
      </w:pBdr>
      <w:jc w:val="right"/>
    </w:pPr>
    <w:r>
      <w:rPr>
        <w:noProof/>
      </w:rPr>
      <w:drawing>
        <wp:anchor distT="0" distB="0" distL="0" distR="0" simplePos="0" relativeHeight="251663360" behindDoc="0" locked="0" layoutInCell="1" hidden="0" allowOverlap="1" wp14:anchorId="4D215D21" wp14:editId="13FE8D0A">
          <wp:simplePos x="0" y="0"/>
          <wp:positionH relativeFrom="column">
            <wp:posOffset>-914398</wp:posOffset>
          </wp:positionH>
          <wp:positionV relativeFrom="paragraph">
            <wp:posOffset>438150</wp:posOffset>
          </wp:positionV>
          <wp:extent cx="7781925" cy="409575"/>
          <wp:effectExtent l="0" t="0" r="0" b="0"/>
          <wp:wrapTopAndBottom distT="0" distB="0"/>
          <wp:docPr id="4"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F102" w14:textId="77777777" w:rsidR="002A469F" w:rsidRDefault="002A469F">
      <w:pPr>
        <w:spacing w:before="0" w:line="240" w:lineRule="auto"/>
      </w:pPr>
      <w:r>
        <w:separator/>
      </w:r>
    </w:p>
  </w:footnote>
  <w:footnote w:type="continuationSeparator" w:id="0">
    <w:p w14:paraId="15DF4AB4" w14:textId="77777777" w:rsidR="002A469F" w:rsidRDefault="002A469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B3F9" w14:textId="77777777" w:rsidR="005623FE" w:rsidRDefault="00000000">
    <w:pPr>
      <w:pBdr>
        <w:top w:val="nil"/>
        <w:left w:val="nil"/>
        <w:bottom w:val="nil"/>
        <w:right w:val="nil"/>
        <w:between w:val="nil"/>
      </w:pBdr>
      <w:spacing w:before="640"/>
      <w:rPr>
        <w:rFonts w:ascii="Proxima Nova" w:eastAsia="Proxima Nova" w:hAnsi="Proxima Nova" w:cs="Proxima Nova"/>
        <w:color w:val="666666"/>
        <w:sz w:val="20"/>
        <w:szCs w:val="20"/>
      </w:rPr>
    </w:pPr>
    <w:r>
      <w:rPr>
        <w:color w:val="666666"/>
        <w:sz w:val="20"/>
        <w:szCs w:val="20"/>
      </w:rPr>
      <w:t>Código del Curso - Nombre del Curso</w:t>
    </w:r>
    <w:r>
      <w:rPr>
        <w:noProof/>
      </w:rPr>
      <w:drawing>
        <wp:anchor distT="0" distB="0" distL="0" distR="0" simplePos="0" relativeHeight="251658240" behindDoc="0" locked="0" layoutInCell="1" hidden="0" allowOverlap="1" wp14:anchorId="711F7FF6" wp14:editId="607CE73E">
          <wp:simplePos x="0" y="0"/>
          <wp:positionH relativeFrom="column">
            <wp:posOffset>-914398</wp:posOffset>
          </wp:positionH>
          <wp:positionV relativeFrom="paragraph">
            <wp:posOffset>-66673</wp:posOffset>
          </wp:positionV>
          <wp:extent cx="7781925" cy="95250"/>
          <wp:effectExtent l="0" t="0" r="0" b="0"/>
          <wp:wrapTopAndBottom distT="0" distB="0"/>
          <wp:docPr id="9"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2C01E80" wp14:editId="0F5EDA56">
          <wp:simplePos x="0" y="0"/>
          <wp:positionH relativeFrom="column">
            <wp:posOffset>-919161</wp:posOffset>
          </wp:positionH>
          <wp:positionV relativeFrom="paragraph">
            <wp:posOffset>-66673</wp:posOffset>
          </wp:positionV>
          <wp:extent cx="7781925" cy="95250"/>
          <wp:effectExtent l="0" t="0" r="0" b="0"/>
          <wp:wrapTopAndBottom distT="0" distB="0"/>
          <wp:docPr id="7" name="image5.png" descr="horizontal line"/>
          <wp:cNvGraphicFramePr/>
          <a:graphic xmlns:a="http://schemas.openxmlformats.org/drawingml/2006/main">
            <a:graphicData uri="http://schemas.openxmlformats.org/drawingml/2006/picture">
              <pic:pic xmlns:pic="http://schemas.openxmlformats.org/drawingml/2006/picture">
                <pic:nvPicPr>
                  <pic:cNvPr id="0" name="image5.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5A236080" w14:textId="77777777" w:rsidR="005623FE" w:rsidRDefault="00000000">
    <w:pPr>
      <w:pBdr>
        <w:top w:val="nil"/>
        <w:left w:val="nil"/>
        <w:bottom w:val="nil"/>
        <w:right w:val="nil"/>
        <w:between w:val="nil"/>
      </w:pBdr>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44EAD3CF" wp14:editId="7FCC795F">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746B" w14:textId="77777777" w:rsidR="005623FE" w:rsidRDefault="00000000">
    <w:pPr>
      <w:pStyle w:val="Title"/>
      <w:rPr>
        <w:sz w:val="16"/>
        <w:szCs w:val="16"/>
      </w:rPr>
    </w:pPr>
    <w:bookmarkStart w:id="23" w:name="_heading=h.5rsmg03ola1o" w:colFirst="0" w:colLast="0"/>
    <w:bookmarkEnd w:id="23"/>
    <w:r>
      <w:rPr>
        <w:noProof/>
      </w:rPr>
      <w:drawing>
        <wp:anchor distT="0" distB="0" distL="0" distR="0" simplePos="0" relativeHeight="251660288" behindDoc="1" locked="0" layoutInCell="1" hidden="0" allowOverlap="1" wp14:anchorId="62C39766" wp14:editId="0493FF65">
          <wp:simplePos x="0" y="0"/>
          <wp:positionH relativeFrom="column">
            <wp:posOffset>3248025</wp:posOffset>
          </wp:positionH>
          <wp:positionV relativeFrom="paragraph">
            <wp:posOffset>295275</wp:posOffset>
          </wp:positionV>
          <wp:extent cx="3219450" cy="4286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18750"/>
                  <a:stretch>
                    <a:fillRect/>
                  </a:stretch>
                </pic:blipFill>
                <pic:spPr>
                  <a:xfrm>
                    <a:off x="0" y="0"/>
                    <a:ext cx="3219450" cy="428625"/>
                  </a:xfrm>
                  <a:prstGeom prst="rect">
                    <a:avLst/>
                  </a:prstGeom>
                  <a:ln/>
                </pic:spPr>
              </pic:pic>
            </a:graphicData>
          </a:graphic>
        </wp:anchor>
      </w:drawing>
    </w:r>
    <w:r>
      <w:rPr>
        <w:noProof/>
      </w:rPr>
      <w:drawing>
        <wp:anchor distT="0" distB="0" distL="0" distR="0" simplePos="0" relativeHeight="251661312" behindDoc="0" locked="0" layoutInCell="1" hidden="0" allowOverlap="1" wp14:anchorId="3CB98947" wp14:editId="34D43C7D">
          <wp:simplePos x="0" y="0"/>
          <wp:positionH relativeFrom="column">
            <wp:posOffset>-919161</wp:posOffset>
          </wp:positionH>
          <wp:positionV relativeFrom="paragraph">
            <wp:posOffset>-66673</wp:posOffset>
          </wp:positionV>
          <wp:extent cx="7781925" cy="95250"/>
          <wp:effectExtent l="0" t="0" r="0" b="0"/>
          <wp:wrapTopAndBottom distT="0" distB="0"/>
          <wp:docPr id="8" name="image5.png" descr="línea horizontal"/>
          <wp:cNvGraphicFramePr/>
          <a:graphic xmlns:a="http://schemas.openxmlformats.org/drawingml/2006/main">
            <a:graphicData uri="http://schemas.openxmlformats.org/drawingml/2006/picture">
              <pic:pic xmlns:pic="http://schemas.openxmlformats.org/drawingml/2006/picture">
                <pic:nvPicPr>
                  <pic:cNvPr id="0" name="image5.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23CD"/>
    <w:multiLevelType w:val="hybridMultilevel"/>
    <w:tmpl w:val="4D2E5AD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2E2E5E90"/>
    <w:multiLevelType w:val="multilevel"/>
    <w:tmpl w:val="2DAC6A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3BE801FE"/>
    <w:multiLevelType w:val="hybridMultilevel"/>
    <w:tmpl w:val="443404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4105CDB"/>
    <w:multiLevelType w:val="hybridMultilevel"/>
    <w:tmpl w:val="53EC12A8"/>
    <w:lvl w:ilvl="0" w:tplc="100A000F">
      <w:start w:val="1"/>
      <w:numFmt w:val="decimal"/>
      <w:lvlText w:val="%1."/>
      <w:lvlJc w:val="left"/>
      <w:pPr>
        <w:ind w:left="720" w:hanging="360"/>
      </w:pPr>
      <w:rPr>
        <w:rFonts w:hint="default"/>
      </w:rPr>
    </w:lvl>
    <w:lvl w:ilvl="1" w:tplc="100A0001">
      <w:start w:val="1"/>
      <w:numFmt w:val="bullet"/>
      <w:lvlText w:val=""/>
      <w:lvlJc w:val="left"/>
      <w:pPr>
        <w:ind w:left="720" w:hanging="360"/>
      </w:pPr>
      <w:rPr>
        <w:rFonts w:ascii="Symbol" w:hAnsi="Symbol" w:hint="default"/>
      </w:rPr>
    </w:lvl>
    <w:lvl w:ilvl="2" w:tplc="100A0001">
      <w:start w:val="1"/>
      <w:numFmt w:val="bullet"/>
      <w:lvlText w:val=""/>
      <w:lvlJc w:val="left"/>
      <w:pPr>
        <w:ind w:left="720" w:hanging="360"/>
      </w:pPr>
      <w:rPr>
        <w:rFonts w:ascii="Symbol" w:hAnsi="Symbol" w:hint="default"/>
      </w:r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460E401B"/>
    <w:multiLevelType w:val="multilevel"/>
    <w:tmpl w:val="DDB02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255322"/>
    <w:multiLevelType w:val="hybridMultilevel"/>
    <w:tmpl w:val="2D5C764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75481036"/>
    <w:multiLevelType w:val="hybridMultilevel"/>
    <w:tmpl w:val="41ACF0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534685650">
    <w:abstractNumId w:val="4"/>
  </w:num>
  <w:num w:numId="2" w16cid:durableId="1343435454">
    <w:abstractNumId w:val="1"/>
  </w:num>
  <w:num w:numId="3" w16cid:durableId="1589727245">
    <w:abstractNumId w:val="5"/>
  </w:num>
  <w:num w:numId="4" w16cid:durableId="551579805">
    <w:abstractNumId w:val="0"/>
  </w:num>
  <w:num w:numId="5" w16cid:durableId="116873970">
    <w:abstractNumId w:val="2"/>
  </w:num>
  <w:num w:numId="6" w16cid:durableId="463084948">
    <w:abstractNumId w:val="6"/>
  </w:num>
  <w:num w:numId="7" w16cid:durableId="766537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FE"/>
    <w:rsid w:val="002A469F"/>
    <w:rsid w:val="00457584"/>
    <w:rsid w:val="005623FE"/>
    <w:rsid w:val="00673962"/>
    <w:rsid w:val="00686458"/>
    <w:rsid w:val="00820EB2"/>
    <w:rsid w:val="009A0BDF"/>
    <w:rsid w:val="00A17514"/>
    <w:rsid w:val="00C4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3F00"/>
  <w15:docId w15:val="{4B099658-643E-48C8-954C-75F10A8C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line="240" w:lineRule="auto"/>
      <w:ind w:left="720" w:hanging="360"/>
      <w:outlineLvl w:val="0"/>
    </w:pPr>
    <w:rPr>
      <w:b/>
      <w:bCs/>
      <w:color w:val="1C4587"/>
      <w:sz w:val="36"/>
      <w:szCs w:val="36"/>
    </w:rPr>
  </w:style>
  <w:style w:type="paragraph" w:styleId="Heading2">
    <w:name w:val="heading 2"/>
    <w:basedOn w:val="Normal"/>
    <w:next w:val="Normal"/>
    <w:uiPriority w:val="9"/>
    <w:unhideWhenUsed/>
    <w:qFormat/>
    <w:pPr>
      <w:keepNext/>
      <w:keepLines/>
      <w:pBdr>
        <w:bottom w:val="single" w:sz="6" w:space="1" w:color="2E75B6"/>
      </w:pBdr>
      <w:spacing w:after="80" w:line="240" w:lineRule="auto"/>
      <w:outlineLvl w:val="1"/>
    </w:pPr>
    <w:rPr>
      <w:b/>
      <w:bCs/>
      <w:color w:val="1C4587"/>
      <w:sz w:val="24"/>
      <w:szCs w:val="24"/>
    </w:rPr>
  </w:style>
  <w:style w:type="paragraph" w:styleId="Heading3">
    <w:name w:val="heading 3"/>
    <w:basedOn w:val="Normal"/>
    <w:next w:val="Normal"/>
    <w:uiPriority w:val="9"/>
    <w:semiHidden/>
    <w:unhideWhenUsed/>
    <w:qFormat/>
    <w:pPr>
      <w:keepNext/>
      <w:keepLines/>
      <w:spacing w:before="0" w:line="240" w:lineRule="auto"/>
      <w:ind w:left="720" w:hanging="360"/>
      <w:outlineLvl w:val="2"/>
    </w:pPr>
    <w:rPr>
      <w:b/>
      <w:bCs/>
      <w:sz w:val="21"/>
      <w:szCs w:val="21"/>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rFonts w:ascii="Proxima Nova" w:eastAsia="Proxima Nova" w:hAnsi="Proxima Nova" w:cs="Proxima Nova"/>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A17514"/>
    <w:pPr>
      <w:ind w:left="720"/>
      <w:contextualSpacing/>
    </w:pPr>
    <w:rPr>
      <w:rFonts w:ascii="Proxima Nova" w:eastAsia="Proxima Nova" w:hAnsi="Proxima Nova" w:cs="Proxima Nova"/>
      <w:lang w:eastAsia="es-GT"/>
    </w:rPr>
  </w:style>
  <w:style w:type="paragraph" w:styleId="NormalWeb">
    <w:name w:val="Normal (Web)"/>
    <w:basedOn w:val="Normal"/>
    <w:uiPriority w:val="99"/>
    <w:unhideWhenUsed/>
    <w:rsid w:val="00A17514"/>
    <w:pPr>
      <w:spacing w:before="100" w:beforeAutospacing="1" w:after="100" w:afterAutospacing="1" w:line="240" w:lineRule="auto"/>
    </w:pPr>
    <w:rPr>
      <w:rFonts w:ascii="Times New Roman" w:eastAsia="Times New Roman" w:hAnsi="Times New Roman" w:cs="Times New Roman"/>
      <w:sz w:val="24"/>
      <w:szCs w:val="24"/>
      <w:lang w:val="es-GT" w:eastAsia="es-GT"/>
    </w:rPr>
  </w:style>
  <w:style w:type="character" w:styleId="Strong">
    <w:name w:val="Strong"/>
    <w:basedOn w:val="DefaultParagraphFont"/>
    <w:uiPriority w:val="22"/>
    <w:qFormat/>
    <w:rsid w:val="00820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7ksao/+2jF7ANqzGNhCFofR9A==">CgMxLjAyDmgudm94bmxkN3Brem8wMg5oLjJtdW9uZjJka3V0eTIOaC52cGppZ3Bvajhud3MyDmguZ2JtNWw4eWlqOHNxMg1oLm80MDlheGJoZzdoMg5oLjRzbXRvNXQxM2xwaTIOaC54ODQ0MmlyMXIwd3gyDmguaHl5bzJrM3I3ZGxoMg5oLml0MXI1MGl6aXZtcTINaC5yODY4czl1a3phazIOaC5oNWRveXBkbjJwZHYyDmguYnoxaTFvdnlzY3AxMg5oLm9iNWFibWt0OWFpNzIOaC42MTlndWl0ZGQ1b2kyDmguaWdteHgxOWQ4eDFzMg5oLjVyc21nMDNvbGExbzgAciExdEczU2dBWDJzN1haSHFKa1hwU2RPdlEtNUFBWEo2a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ruiz</cp:lastModifiedBy>
  <cp:revision>7</cp:revision>
  <dcterms:created xsi:type="dcterms:W3CDTF">2026-05-10T07:55:00Z</dcterms:created>
  <dcterms:modified xsi:type="dcterms:W3CDTF">2026-05-10T08:31:00Z</dcterms:modified>
</cp:coreProperties>
</file>