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2wam7nx7c0xl"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698rpcbu8wtj"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26cvb0zbqd11" w:id="2"/>
      <w:bookmarkEnd w:id="2"/>
      <w:r w:rsidDel="00000000" w:rsidR="00000000" w:rsidRPr="00000000">
        <w:rPr>
          <w:rtl w:val="0"/>
        </w:rPr>
        <w:t xml:space="preserve">Diseño Arquitectura</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10 hrs/min</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544878644"/>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hnypduskq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nngofudd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aveml0fl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hq244hap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5shsmeg789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phxtvuey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ol87l8934r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cfiz95cz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fn72x58a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323q9ndx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Entregables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d4n8x4rkv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5xttmw8l5w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rfdtxkuomo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b6w6jve0w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lagpbomi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p06fjjs7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izneob8j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dass2rtu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Comentarios Generales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pStyle w:val="Heading1"/>
        <w:numPr>
          <w:ilvl w:val="0"/>
          <w:numId w:val="5"/>
        </w:numPr>
        <w:spacing w:after="0" w:before="0" w:line="240" w:lineRule="auto"/>
        <w:ind w:left="720" w:hanging="360"/>
        <w:rPr>
          <w:rFonts w:ascii="Proxima Nova" w:cs="Proxima Nova" w:eastAsia="Proxima Nova" w:hAnsi="Proxima Nova"/>
          <w:color w:val="039be5"/>
          <w:sz w:val="36"/>
          <w:szCs w:val="36"/>
        </w:rPr>
      </w:pPr>
      <w:bookmarkStart w:colFirst="0" w:colLast="0" w:name="_6hnypduskq6b" w:id="3"/>
      <w:bookmarkEnd w:id="3"/>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37">
      <w:pPr>
        <w:pStyle w:val="Heading2"/>
        <w:numPr>
          <w:ilvl w:val="1"/>
          <w:numId w:val="5"/>
        </w:numPr>
        <w:spacing w:after="0" w:before="0" w:line="300" w:lineRule="auto"/>
        <w:ind w:left="1440" w:hanging="360"/>
        <w:rPr>
          <w:rFonts w:ascii="Proxima Nova" w:cs="Proxima Nova" w:eastAsia="Proxima Nova" w:hAnsi="Proxima Nova"/>
          <w:color w:val="bf9000"/>
          <w:sz w:val="28"/>
          <w:szCs w:val="28"/>
        </w:rPr>
      </w:pPr>
      <w:bookmarkStart w:colFirst="0" w:colLast="0" w:name="_6ynngofuddg5"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jc w:val="center"/>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Excelencia técnica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estudiante diseña una arquitectura escalable y coherente, aplicando estándares de la industria en el modelado de microservicios y bases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Pensamiento sistémico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 diseñar la solución, el estudiante considera la interacción entre múltiples servicios, sistemas externos y flujos de negocio complejos, evidenciando una visión integral del sistema. </w:t>
            </w:r>
          </w:p>
        </w:tc>
      </w:tr>
    </w:tbl>
    <w:p w:rsidR="00000000" w:rsidDel="00000000" w:rsidP="00000000" w:rsidRDefault="00000000" w:rsidRPr="00000000" w14:paraId="0000003E">
      <w:pPr>
        <w:pStyle w:val="Heading2"/>
        <w:spacing w:after="0" w:before="0" w:line="240" w:lineRule="auto"/>
        <w:rPr>
          <w:rFonts w:ascii="Proxima Nova" w:cs="Proxima Nova" w:eastAsia="Proxima Nova" w:hAnsi="Proxima Nova"/>
          <w:color w:val="bf9000"/>
          <w:sz w:val="28"/>
          <w:szCs w:val="28"/>
        </w:rPr>
      </w:pPr>
      <w:bookmarkStart w:colFirst="0" w:colLast="0" w:name="_d8ymf0xxq2o4" w:id="5"/>
      <w:bookmarkEnd w:id="5"/>
      <w:r w:rsidDel="00000000" w:rsidR="00000000" w:rsidRPr="00000000">
        <w:rPr>
          <w:rtl w:val="0"/>
        </w:rPr>
      </w:r>
    </w:p>
    <w:p w:rsidR="00000000" w:rsidDel="00000000" w:rsidP="00000000" w:rsidRDefault="00000000" w:rsidRPr="00000000" w14:paraId="0000003F">
      <w:pPr>
        <w:pStyle w:val="Heading2"/>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wsaveml0fll9"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Tipo de competencia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before="200" w:lineRule="auto"/>
              <w:jc w:val="center"/>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Arquitectónica y de Diseño de Software Empresarial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 General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Diseñar soluciones de software escalables y mantenibles utilizando arquitecturas modernas y principios de ingeniería de software.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 Específica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Diseñar una arquitectura basada en microservicios para un sistema empresarial de alta demanda. </w:t>
            </w:r>
          </w:p>
        </w:tc>
      </w:tr>
    </w:tbl>
    <w:p w:rsidR="00000000" w:rsidDel="00000000" w:rsidP="00000000" w:rsidRDefault="00000000" w:rsidRPr="00000000" w14:paraId="00000046">
      <w:pPr>
        <w:spacing w:before="200" w:line="240" w:lineRule="auto"/>
        <w:rPr/>
      </w:pPr>
      <w:r w:rsidDel="00000000" w:rsidR="00000000" w:rsidRPr="00000000">
        <w:rPr>
          <w:rtl w:val="0"/>
        </w:rPr>
      </w:r>
    </w:p>
    <w:p w:rsidR="00000000" w:rsidDel="00000000" w:rsidP="00000000" w:rsidRDefault="00000000" w:rsidRPr="00000000" w14:paraId="00000047">
      <w:pPr>
        <w:pStyle w:val="Heading2"/>
        <w:numPr>
          <w:ilvl w:val="1"/>
          <w:numId w:val="5"/>
        </w:numPr>
        <w:ind w:left="1440" w:hanging="360"/>
        <w:rPr/>
      </w:pPr>
      <w:bookmarkStart w:colFirst="0" w:colLast="0" w:name="_m1hq244hapbo" w:id="7"/>
      <w:bookmarkEnd w:id="7"/>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La práctica le permitirá desarrollar las siguientes habilidades:</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b w:val="1"/>
          <w:bCs w:val="1"/>
          <w:rtl w:val="0"/>
        </w:rPr>
        <w:t xml:space="preserve">Individual:</w:t>
      </w:r>
      <w:r w:rsidDel="00000000" w:rsidR="00000000" w:rsidRPr="00000000">
        <w:rPr>
          <w:rtl w:val="0"/>
        </w:rPr>
        <w:t xml:space="preserve"> Análisis y resolución de problemas complejos, al traducir requerimientos de negocio (flujos de aprobación, integraciones externas, logging) en una arquitectura técnica coherente.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Individual:</w:t>
      </w:r>
      <w:r w:rsidDel="00000000" w:rsidR="00000000" w:rsidRPr="00000000">
        <w:rPr>
          <w:rtl w:val="0"/>
        </w:rPr>
        <w:t xml:space="preserve"> Comunicación técnica escrita y visual, mediante la elaboración de diagramas de arquitectura, ER y documentos de solución que comuniquen decisiones de diseño con claridad.</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bCs w:val="1"/>
          <w:rtl w:val="0"/>
        </w:rPr>
        <w:t xml:space="preserve">Individual:</w:t>
      </w:r>
      <w:r w:rsidDel="00000000" w:rsidR="00000000" w:rsidRPr="00000000">
        <w:rPr>
          <w:rtl w:val="0"/>
        </w:rPr>
        <w:t xml:space="preserve"> Toma de decisiones justificadas, al seleccionar tecnologías y patrones de diseño argumentando sus ventajas en el contexto del problema planteado.</w:t>
      </w:r>
      <w:r w:rsidDel="00000000" w:rsidR="00000000" w:rsidRPr="00000000">
        <w:rPr>
          <w:rtl w:val="0"/>
        </w:rPr>
      </w:r>
    </w:p>
    <w:p w:rsidR="00000000" w:rsidDel="00000000" w:rsidP="00000000" w:rsidRDefault="00000000" w:rsidRPr="00000000" w14:paraId="0000004C">
      <w:pPr>
        <w:spacing w:before="200" w:line="240" w:lineRule="auto"/>
        <w:rPr/>
      </w:pPr>
      <w:r w:rsidDel="00000000" w:rsidR="00000000" w:rsidRPr="00000000">
        <w:rPr>
          <w:rtl w:val="0"/>
        </w:rPr>
      </w:r>
    </w:p>
    <w:p w:rsidR="00000000" w:rsidDel="00000000" w:rsidP="00000000" w:rsidRDefault="00000000" w:rsidRPr="00000000" w14:paraId="0000004D">
      <w:pPr>
        <w:pStyle w:val="Heading1"/>
        <w:numPr>
          <w:ilvl w:val="0"/>
          <w:numId w:val="5"/>
        </w:numPr>
        <w:spacing w:after="0" w:before="0" w:line="240" w:lineRule="auto"/>
        <w:ind w:left="720" w:hanging="360"/>
        <w:rPr>
          <w:color w:val="039be5"/>
          <w:sz w:val="36"/>
          <w:szCs w:val="36"/>
        </w:rPr>
      </w:pPr>
      <w:bookmarkStart w:colFirst="0" w:colLast="0" w:name="_d5shsmeg789x" w:id="8"/>
      <w:bookmarkEnd w:id="8"/>
      <w:r w:rsidDel="00000000" w:rsidR="00000000" w:rsidRPr="00000000">
        <w:rPr>
          <w:sz w:val="36"/>
          <w:szCs w:val="36"/>
          <w:rtl w:val="0"/>
        </w:rPr>
        <w:t xml:space="preserve">Resultado del Aprendizaje</w:t>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pStyle w:val="Heading2"/>
        <w:widowControl w:val="0"/>
        <w:numPr>
          <w:ilvl w:val="1"/>
          <w:numId w:val="5"/>
        </w:numPr>
        <w:ind w:left="1440" w:hanging="360"/>
        <w:rPr>
          <w:color w:val="bf9000"/>
          <w:sz w:val="28"/>
          <w:szCs w:val="28"/>
        </w:rPr>
      </w:pPr>
      <w:bookmarkStart w:colFirst="0" w:colLast="0" w:name="_m3phxtvuey7d" w:id="9"/>
      <w:bookmarkEnd w:id="9"/>
      <w:r w:rsidDel="00000000" w:rsidR="00000000" w:rsidRPr="00000000">
        <w:rPr>
          <w:rFonts w:ascii="Arial" w:cs="Arial" w:eastAsia="Arial" w:hAnsi="Arial"/>
          <w:rtl w:val="0"/>
        </w:rPr>
        <w:t xml:space="preserve">Objetivo SMART</w:t>
      </w:r>
      <w:r w:rsidDel="00000000" w:rsidR="00000000" w:rsidRPr="00000000">
        <w:rPr>
          <w:rtl w:val="0"/>
        </w:rPr>
      </w:r>
    </w:p>
    <w:p w:rsidR="00000000" w:rsidDel="00000000" w:rsidP="00000000" w:rsidRDefault="00000000" w:rsidRPr="00000000" w14:paraId="00000050">
      <w:pPr>
        <w:spacing w:before="200" w:line="240" w:lineRule="auto"/>
        <w:rPr>
          <w:color w:val="b7b7b7"/>
        </w:rPr>
      </w:pPr>
      <w:r w:rsidDel="00000000" w:rsidR="00000000" w:rsidRPr="00000000">
        <w:rPr>
          <w:rtl w:val="0"/>
        </w:rPr>
      </w:r>
    </w:p>
    <w:tbl>
      <w:tblPr>
        <w:tblStyle w:val="Table3"/>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color w:val="b7b7b7"/>
              </w:rPr>
            </w:pPr>
            <w:r w:rsidDel="00000000" w:rsidR="00000000" w:rsidRPr="00000000">
              <w:rPr>
                <w:rtl w:val="0"/>
              </w:rPr>
              <w:t xml:space="preserve">Diseñar arquitectura de microservicios para sistema de planillas </w:t>
            </w:r>
            <w:r w:rsidDel="00000000" w:rsidR="00000000" w:rsidRPr="00000000">
              <w:rPr>
                <w:color w:val="b7b7b7"/>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color w:val="b7b7b7"/>
              </w:rPr>
            </w:pPr>
            <w:r w:rsidDel="00000000" w:rsidR="00000000" w:rsidRPr="00000000">
              <w:rPr>
                <w:rtl w:val="0"/>
              </w:rPr>
              <w:t xml:space="preserve">Entregar diagrama de arquitectura general, diseño de al menos 3 microservicios, diagramas ER por servicio, definición del flujo de aprobación y descripción técnica completa de la solución.  </w:t>
            </w:r>
            <w:r w:rsidDel="00000000" w:rsidR="00000000" w:rsidRPr="00000000">
              <w:rPr>
                <w:color w:val="b7b7b7"/>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color w:val="b7b7b7"/>
              </w:rPr>
            </w:pPr>
            <w:r w:rsidDel="00000000" w:rsidR="00000000" w:rsidRPr="00000000">
              <w:rPr>
                <w:rtl w:val="0"/>
              </w:rPr>
              <w:t xml:space="preserve">Utilizando herramientas como Draw.io, Lucidchart, Miro, ArchiMate o similares, apoyándose en el módulo de autenticación desarrollado en la Práctica 2.  </w:t>
            </w:r>
            <w:r w:rsidDel="00000000" w:rsidR="00000000" w:rsidRPr="00000000">
              <w:rPr>
                <w:color w:val="b7b7b7"/>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Aplicado a un escenario real de alta demanda empresarial, desarrollando la competencia de diseño arquitectónico que se exige en el ejercicio profesional de la ingeniería en sistemas.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color w:val="b7b7b7"/>
              </w:rPr>
            </w:pPr>
            <w:r w:rsidDel="00000000" w:rsidR="00000000" w:rsidRPr="00000000">
              <w:rPr>
                <w:rtl w:val="0"/>
              </w:rPr>
              <w:t xml:space="preserve">Antes del x de Julio de 2026 a las 23:59 hrs, entregando el repositorio vía UEDI. </w:t>
            </w:r>
            <w:r w:rsidDel="00000000" w:rsidR="00000000" w:rsidRPr="00000000">
              <w:rPr>
                <w:rtl w:val="0"/>
              </w:rPr>
            </w:r>
          </w:p>
        </w:tc>
      </w:tr>
    </w:tbl>
    <w:p w:rsidR="00000000" w:rsidDel="00000000" w:rsidP="00000000" w:rsidRDefault="00000000" w:rsidRPr="00000000" w14:paraId="0000005B">
      <w:pPr>
        <w:spacing w:before="200" w:line="240" w:lineRule="auto"/>
        <w:rPr/>
      </w:pPr>
      <w:r w:rsidDel="00000000" w:rsidR="00000000" w:rsidRPr="00000000">
        <w:rPr>
          <w:rtl w:val="0"/>
        </w:rPr>
      </w:r>
    </w:p>
    <w:p w:rsidR="00000000" w:rsidDel="00000000" w:rsidP="00000000" w:rsidRDefault="00000000" w:rsidRPr="00000000" w14:paraId="0000005C">
      <w:pPr>
        <w:pStyle w:val="Heading1"/>
        <w:keepNext w:val="0"/>
        <w:keepLines w:val="0"/>
        <w:numPr>
          <w:ilvl w:val="0"/>
          <w:numId w:val="5"/>
        </w:numPr>
        <w:spacing w:before="280" w:line="276" w:lineRule="auto"/>
        <w:ind w:left="720" w:hanging="360"/>
        <w:rPr/>
      </w:pPr>
      <w:bookmarkStart w:colFirst="0" w:colLast="0" w:name="_pol87l8934rh" w:id="10"/>
      <w:bookmarkEnd w:id="10"/>
      <w:r w:rsidDel="00000000" w:rsidR="00000000" w:rsidRPr="00000000">
        <w:rPr>
          <w:rtl w:val="0"/>
        </w:rPr>
        <w:t xml:space="preserve">Enunciado de la Práctica</w:t>
      </w:r>
      <w:r w:rsidDel="00000000" w:rsidR="00000000" w:rsidRPr="00000000">
        <w:rPr>
          <w:rtl w:val="0"/>
        </w:rPr>
        <w:t xml:space="preserve">.</w:t>
      </w:r>
    </w:p>
    <w:p w:rsidR="00000000" w:rsidDel="00000000" w:rsidP="00000000" w:rsidRDefault="00000000" w:rsidRPr="00000000" w14:paraId="0000005D">
      <w:pPr>
        <w:pStyle w:val="Heading2"/>
        <w:ind w:left="0" w:firstLine="0"/>
        <w:rPr/>
      </w:pPr>
      <w:bookmarkStart w:colFirst="0" w:colLast="0" w:name="_yjcfiz95czg8" w:id="11"/>
      <w:bookmarkEnd w:id="11"/>
      <w:r w:rsidDel="00000000" w:rsidR="00000000" w:rsidRPr="00000000">
        <w:rPr>
          <w:rtl w:val="0"/>
        </w:rPr>
        <w:t xml:space="preserve">3.1 Descripción del problema a resolver</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En la empresa donde el estudiante labora actualmente, el sistema de planillas funciona bajo un esquema </w:t>
      </w:r>
      <w:r w:rsidDel="00000000" w:rsidR="00000000" w:rsidRPr="00000000">
        <w:rPr>
          <w:b w:val="1"/>
          <w:bCs w:val="1"/>
          <w:rtl w:val="0"/>
        </w:rPr>
        <w:t xml:space="preserve">monolítico</w:t>
      </w:r>
      <w:r w:rsidDel="00000000" w:rsidR="00000000" w:rsidRPr="00000000">
        <w:rPr>
          <w:rtl w:val="0"/>
        </w:rPr>
        <w:t xml:space="preserve">, lo que provoca un lento funcionamiento en épocas de alta demanda como quincenas, fin de mes, pago de aguinaldo, entre otros. Por esta razón, se acude al equipo de trabajo para realizar el </w:t>
      </w:r>
      <w:r w:rsidDel="00000000" w:rsidR="00000000" w:rsidRPr="00000000">
        <w:rPr>
          <w:b w:val="1"/>
          <w:bCs w:val="1"/>
          <w:rtl w:val="0"/>
        </w:rPr>
        <w:t xml:space="preserve">diseño inicial de una nueva solución</w:t>
      </w:r>
      <w:r w:rsidDel="00000000" w:rsidR="00000000" w:rsidRPr="00000000">
        <w:rPr>
          <w:rtl w:val="0"/>
        </w:rPr>
        <w:t xml:space="preserve"> que resuelva este problema.</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El sistema deberá integrar los siguientes elementos:</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rtl w:val="0"/>
        </w:rPr>
        <w:t xml:space="preserve">Un servicio de autenticación </w:t>
      </w:r>
      <w:r w:rsidDel="00000000" w:rsidR="00000000" w:rsidRPr="00000000">
        <w:rPr>
          <w:b w:val="1"/>
          <w:bCs w:val="1"/>
          <w:rtl w:val="0"/>
        </w:rPr>
        <w:t xml:space="preserve">OAuth corporativo</w:t>
      </w:r>
      <w:r w:rsidDel="00000000" w:rsidR="00000000" w:rsidRPr="00000000">
        <w:rPr>
          <w:rtl w:val="0"/>
        </w:rPr>
        <w:t xml:space="preserve"> con tiempo de vida de token de 12 horas, complementado con el módulo de autenticación desarrollado en la Práctica 2 para gestionar permisos y accesos.</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sistema financiero externo</w:t>
      </w:r>
      <w:r w:rsidDel="00000000" w:rsidR="00000000" w:rsidRPr="00000000">
        <w:rPr>
          <w:rtl w:val="0"/>
        </w:rPr>
        <w:t xml:space="preserve"> al cual el sistema de planillas envía las planillas una vez aprobadas.</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Las planillas se cargan mediante </w:t>
      </w:r>
      <w:r w:rsidDel="00000000" w:rsidR="00000000" w:rsidRPr="00000000">
        <w:rPr>
          <w:b w:val="1"/>
          <w:bCs w:val="1"/>
          <w:rtl w:val="0"/>
        </w:rPr>
        <w:t xml:space="preserve">archivos CSV</w:t>
      </w:r>
      <w:r w:rsidDel="00000000" w:rsidR="00000000" w:rsidRPr="00000000">
        <w:rPr>
          <w:rtl w:val="0"/>
        </w:rPr>
        <w:t xml:space="preserve">, los cuales deben ser validados por las reglas internas del negocio y almacenados en un servidor (nube o FTP).</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Las planillas siguen un </w:t>
      </w:r>
      <w:r w:rsidDel="00000000" w:rsidR="00000000" w:rsidRPr="00000000">
        <w:rPr>
          <w:b w:val="1"/>
          <w:bCs w:val="1"/>
          <w:rtl w:val="0"/>
        </w:rPr>
        <w:t xml:space="preserve">flujo de aprobación de 3 pasos</w:t>
      </w:r>
      <w:r w:rsidDel="00000000" w:rsidR="00000000" w:rsidRPr="00000000">
        <w:rPr>
          <w:rtl w:val="0"/>
        </w:rPr>
        <w:t xml:space="preserve"> por distintos usuarios antes de ser enviadas al sistema financiero.</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Al completarse el paso 3 y aprobarse la planilla, se debe enviar un </w:t>
      </w:r>
      <w:r w:rsidDel="00000000" w:rsidR="00000000" w:rsidRPr="00000000">
        <w:rPr>
          <w:b w:val="1"/>
          <w:bCs w:val="1"/>
          <w:rtl w:val="0"/>
        </w:rPr>
        <w:t xml:space="preserve">correo electrónico a todos los empleados</w:t>
      </w:r>
      <w:r w:rsidDel="00000000" w:rsidR="00000000" w:rsidRPr="00000000">
        <w:rPr>
          <w:rtl w:val="0"/>
        </w:rPr>
        <w:t xml:space="preserve"> de esa planilla informando que su pago está en proceso de depósito.</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El sistema debe mantener un </w:t>
      </w:r>
      <w:r w:rsidDel="00000000" w:rsidR="00000000" w:rsidRPr="00000000">
        <w:rPr>
          <w:b w:val="1"/>
          <w:bCs w:val="1"/>
          <w:rtl w:val="0"/>
        </w:rPr>
        <w:t xml:space="preserve">historial consultable</w:t>
      </w:r>
      <w:r w:rsidDel="00000000" w:rsidR="00000000" w:rsidRPr="00000000">
        <w:rPr>
          <w:rtl w:val="0"/>
        </w:rPr>
        <w:t xml:space="preserve"> de todas las planillas procesadas, incluyendo su contenido y la opción de descarga.</w:t>
      </w:r>
    </w:p>
    <w:p w:rsidR="00000000" w:rsidDel="00000000" w:rsidP="00000000" w:rsidRDefault="00000000" w:rsidRPr="00000000" w14:paraId="00000066">
      <w:pPr>
        <w:numPr>
          <w:ilvl w:val="0"/>
          <w:numId w:val="2"/>
        </w:numPr>
        <w:spacing w:after="240" w:before="0" w:beforeAutospacing="0" w:lineRule="auto"/>
        <w:ind w:left="720" w:hanging="360"/>
      </w:pPr>
      <w:r w:rsidDel="00000000" w:rsidR="00000000" w:rsidRPr="00000000">
        <w:rPr>
          <w:rtl w:val="0"/>
        </w:rPr>
        <w:t xml:space="preserve">Es obligatorio contar con un </w:t>
      </w:r>
      <w:r w:rsidDel="00000000" w:rsidR="00000000" w:rsidRPr="00000000">
        <w:rPr>
          <w:b w:val="1"/>
          <w:bCs w:val="1"/>
          <w:rtl w:val="0"/>
        </w:rPr>
        <w:t xml:space="preserve">sistema de logging centralizado</w:t>
      </w:r>
      <w:r w:rsidDel="00000000" w:rsidR="00000000" w:rsidRPr="00000000">
        <w:rPr>
          <w:rtl w:val="0"/>
        </w:rPr>
        <w:t xml:space="preserve"> y auditable que registre todo lo que ocurre en el sistema.</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pStyle w:val="Heading2"/>
        <w:spacing w:after="240" w:before="240" w:line="276" w:lineRule="auto"/>
        <w:ind w:left="0" w:firstLine="0"/>
        <w:rPr/>
      </w:pPr>
      <w:bookmarkStart w:colFirst="0" w:colLast="0" w:name="_t0fn72x58ali" w:id="12"/>
      <w:bookmarkEnd w:id="12"/>
      <w:r w:rsidDel="00000000" w:rsidR="00000000" w:rsidRPr="00000000">
        <w:rPr>
          <w:rtl w:val="0"/>
        </w:rPr>
        <w:t xml:space="preserve">3.2 Alcance de la práctica</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El estudiante deberá entregar los siguientes elementos de diseño:</w:t>
      </w:r>
    </w:p>
    <w:p w:rsidR="00000000" w:rsidDel="00000000" w:rsidP="00000000" w:rsidRDefault="00000000" w:rsidRPr="00000000" w14:paraId="0000006C">
      <w:pPr>
        <w:numPr>
          <w:ilvl w:val="0"/>
          <w:numId w:val="1"/>
        </w:numPr>
        <w:spacing w:after="0" w:afterAutospacing="0" w:before="240" w:lineRule="auto"/>
        <w:ind w:left="720" w:hanging="360"/>
        <w:rPr/>
      </w:pPr>
      <w:r w:rsidDel="00000000" w:rsidR="00000000" w:rsidRPr="00000000">
        <w:rPr>
          <w:rtl w:val="0"/>
        </w:rPr>
        <w:t xml:space="preserve">Diagrama de Arquitectura General del sistema</w:t>
      </w:r>
    </w:p>
    <w:p w:rsidR="00000000" w:rsidDel="00000000" w:rsidP="00000000" w:rsidRDefault="00000000" w:rsidRPr="00000000" w14:paraId="0000006D">
      <w:pPr>
        <w:numPr>
          <w:ilvl w:val="0"/>
          <w:numId w:val="1"/>
        </w:numPr>
        <w:spacing w:after="0" w:afterAutospacing="0" w:before="0" w:beforeAutospacing="0" w:lineRule="auto"/>
        <w:ind w:left="720" w:hanging="360"/>
        <w:rPr/>
      </w:pPr>
      <w:r w:rsidDel="00000000" w:rsidR="00000000" w:rsidRPr="00000000">
        <w:rPr>
          <w:rtl w:val="0"/>
        </w:rPr>
        <w:t xml:space="preserve">Uso e integración del servicio de autenticación de la Práctica 2</w:t>
      </w:r>
    </w:p>
    <w:p w:rsidR="00000000" w:rsidDel="00000000" w:rsidP="00000000" w:rsidRDefault="00000000" w:rsidRPr="00000000" w14:paraId="0000006E">
      <w:pPr>
        <w:numPr>
          <w:ilvl w:val="0"/>
          <w:numId w:val="1"/>
        </w:numPr>
        <w:spacing w:after="0" w:afterAutospacing="0" w:before="0" w:beforeAutospacing="0" w:lineRule="auto"/>
        <w:ind w:left="720" w:hanging="360"/>
        <w:rPr/>
      </w:pPr>
      <w:r w:rsidDel="00000000" w:rsidR="00000000" w:rsidRPr="00000000">
        <w:rPr>
          <w:rtl w:val="0"/>
        </w:rPr>
        <w:t xml:space="preserve">Diseño de microservicios (mínimo 3 servicios) con separación adecuada de responsabilidades</w:t>
      </w:r>
    </w:p>
    <w:p w:rsidR="00000000" w:rsidDel="00000000" w:rsidP="00000000" w:rsidRDefault="00000000" w:rsidRPr="00000000" w14:paraId="0000006F">
      <w:pPr>
        <w:numPr>
          <w:ilvl w:val="0"/>
          <w:numId w:val="1"/>
        </w:numPr>
        <w:spacing w:after="0" w:afterAutospacing="0" w:before="0" w:beforeAutospacing="0" w:lineRule="auto"/>
        <w:ind w:left="720" w:hanging="360"/>
        <w:rPr/>
      </w:pPr>
      <w:r w:rsidDel="00000000" w:rsidR="00000000" w:rsidRPr="00000000">
        <w:rPr>
          <w:rtl w:val="0"/>
        </w:rPr>
        <w:t xml:space="preserve">Diagrama ER por cada microservicio</w:t>
      </w:r>
    </w:p>
    <w:p w:rsidR="00000000" w:rsidDel="00000000" w:rsidP="00000000" w:rsidRDefault="00000000" w:rsidRPr="00000000" w14:paraId="00000070">
      <w:pPr>
        <w:numPr>
          <w:ilvl w:val="0"/>
          <w:numId w:val="1"/>
        </w:numPr>
        <w:spacing w:after="0" w:afterAutospacing="0" w:before="0" w:beforeAutospacing="0" w:lineRule="auto"/>
        <w:ind w:left="720" w:hanging="360"/>
        <w:rPr/>
      </w:pPr>
      <w:r w:rsidDel="00000000" w:rsidR="00000000" w:rsidRPr="00000000">
        <w:rPr>
          <w:rtl w:val="0"/>
        </w:rPr>
        <w:t xml:space="preserve">Definición y documentación del flujo de aprobación de 3 pasos</w:t>
      </w:r>
    </w:p>
    <w:p w:rsidR="00000000" w:rsidDel="00000000" w:rsidP="00000000" w:rsidRDefault="00000000" w:rsidRPr="00000000" w14:paraId="00000071">
      <w:pPr>
        <w:numPr>
          <w:ilvl w:val="0"/>
          <w:numId w:val="1"/>
        </w:numPr>
        <w:spacing w:after="0" w:afterAutospacing="0" w:before="0" w:beforeAutospacing="0" w:lineRule="auto"/>
        <w:ind w:left="720" w:hanging="360"/>
        <w:rPr/>
      </w:pPr>
      <w:r w:rsidDel="00000000" w:rsidR="00000000" w:rsidRPr="00000000">
        <w:rPr>
          <w:rtl w:val="0"/>
        </w:rPr>
        <w:t xml:space="preserve">Diseño de la estrategia de almacenamiento de archivos CSV</w:t>
      </w:r>
    </w:p>
    <w:p w:rsidR="00000000" w:rsidDel="00000000" w:rsidP="00000000" w:rsidRDefault="00000000" w:rsidRPr="00000000" w14:paraId="00000072">
      <w:pPr>
        <w:numPr>
          <w:ilvl w:val="0"/>
          <w:numId w:val="1"/>
        </w:numPr>
        <w:spacing w:after="0" w:afterAutospacing="0" w:before="0" w:beforeAutospacing="0" w:lineRule="auto"/>
        <w:ind w:left="720" w:hanging="360"/>
        <w:rPr/>
      </w:pPr>
      <w:r w:rsidDel="00000000" w:rsidR="00000000" w:rsidRPr="00000000">
        <w:rPr>
          <w:rtl w:val="0"/>
        </w:rPr>
        <w:t xml:space="preserve">Diseño de la estrategia de logging centralizado</w:t>
      </w:r>
    </w:p>
    <w:p w:rsidR="00000000" w:rsidDel="00000000" w:rsidP="00000000" w:rsidRDefault="00000000" w:rsidRPr="00000000" w14:paraId="00000073">
      <w:pPr>
        <w:numPr>
          <w:ilvl w:val="0"/>
          <w:numId w:val="1"/>
        </w:numPr>
        <w:spacing w:after="0" w:afterAutospacing="0" w:before="0" w:beforeAutospacing="0" w:lineRule="auto"/>
        <w:ind w:left="720" w:hanging="360"/>
        <w:rPr/>
      </w:pPr>
      <w:r w:rsidDel="00000000" w:rsidR="00000000" w:rsidRPr="00000000">
        <w:rPr>
          <w:rtl w:val="0"/>
        </w:rPr>
        <w:t xml:space="preserve">Explicación de la comunicación entre servicios (REST y/o mensajería)</w:t>
      </w:r>
    </w:p>
    <w:p w:rsidR="00000000" w:rsidDel="00000000" w:rsidP="00000000" w:rsidRDefault="00000000" w:rsidRPr="00000000" w14:paraId="00000074">
      <w:pPr>
        <w:numPr>
          <w:ilvl w:val="0"/>
          <w:numId w:val="1"/>
        </w:numPr>
        <w:spacing w:after="240" w:before="0" w:beforeAutospacing="0" w:lineRule="auto"/>
        <w:ind w:left="720" w:hanging="360"/>
        <w:rPr/>
      </w:pPr>
      <w:r w:rsidDel="00000000" w:rsidR="00000000" w:rsidRPr="00000000">
        <w:rPr>
          <w:rtl w:val="0"/>
        </w:rPr>
        <w:t xml:space="preserve">Propuesta de API Gateway</w:t>
      </w:r>
    </w:p>
    <w:p w:rsidR="00000000" w:rsidDel="00000000" w:rsidP="00000000" w:rsidRDefault="00000000" w:rsidRPr="00000000" w14:paraId="00000075">
      <w:pPr>
        <w:spacing w:after="240" w:before="240" w:line="276" w:lineRule="auto"/>
        <w:rPr/>
      </w:pPr>
      <w:r w:rsidDel="00000000" w:rsidR="00000000" w:rsidRPr="00000000">
        <w:rPr>
          <w:rFonts w:ascii="Proxima Nova" w:cs="Proxima Nova" w:eastAsia="Proxima Nova" w:hAnsi="Proxima Nova"/>
          <w:color w:val="bf9000"/>
          <w:sz w:val="28"/>
          <w:szCs w:val="28"/>
          <w:rtl w:val="0"/>
        </w:rPr>
        <w:t xml:space="preserve">3.3 Requerimientos técnicos</w:t>
      </w:r>
      <w:r w:rsidDel="00000000" w:rsidR="00000000" w:rsidRPr="00000000">
        <w:rPr>
          <w:rtl w:val="0"/>
        </w:rPr>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b w:val="1"/>
          <w:bCs w:val="1"/>
          <w:rtl w:val="0"/>
        </w:rPr>
        <w:t xml:space="preserve">Arquitectura: Basada en microservicios con API Gateway.</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b w:val="1"/>
          <w:bCs w:val="1"/>
          <w:rtl w:val="0"/>
        </w:rPr>
        <w:t xml:space="preserve">Autenticación: Integración con OAuth corporativo (token 12h) y con el módulo de la Práctica 2.</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b w:val="1"/>
          <w:bCs w:val="1"/>
          <w:rtl w:val="0"/>
        </w:rPr>
        <w:t xml:space="preserve">Base de datos: Una base de datos independiente por cada microservicio.</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b w:val="1"/>
          <w:bCs w:val="1"/>
          <w:rtl w:val="0"/>
        </w:rPr>
        <w:t xml:space="preserve">Almacenamiento de archivos: Cloud Storage (AWS S3, GCP, Azure) o servidor FTP.</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b w:val="1"/>
          <w:bCs w:val="1"/>
          <w:rtl w:val="0"/>
        </w:rPr>
        <w:t xml:space="preserve">Logging: Sistema de logging centralizado y consultable.</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b w:val="1"/>
          <w:bCs w:val="1"/>
          <w:rtl w:val="0"/>
        </w:rPr>
        <w:t xml:space="preserve">Comunicación: REST y/o mensajería asíncrona (Kafka, RabbitMQ, NATS u otro).</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b w:val="1"/>
          <w:bCs w:val="1"/>
          <w:rtl w:val="0"/>
        </w:rPr>
        <w:t xml:space="preserve">Herramientas de modelado: Draw.io, Lucidchart, Miro, ArchiMate o similares.</w:t>
      </w:r>
    </w:p>
    <w:p w:rsidR="00000000" w:rsidDel="00000000" w:rsidP="00000000" w:rsidRDefault="00000000" w:rsidRPr="00000000" w14:paraId="0000007D">
      <w:pPr>
        <w:numPr>
          <w:ilvl w:val="0"/>
          <w:numId w:val="7"/>
        </w:numPr>
        <w:spacing w:after="240" w:before="0" w:beforeAutospacing="0" w:lineRule="auto"/>
        <w:ind w:left="720" w:hanging="360"/>
      </w:pPr>
      <w:r w:rsidDel="00000000" w:rsidR="00000000" w:rsidRPr="00000000">
        <w:rPr>
          <w:b w:val="1"/>
          <w:bCs w:val="1"/>
          <w:rtl w:val="0"/>
        </w:rPr>
        <w:t xml:space="preserve">Docker / Kubernetes: Opcionales, pero se valoran si se incluyen en el diseño.</w:t>
      </w:r>
    </w:p>
    <w:p w:rsidR="00000000" w:rsidDel="00000000" w:rsidP="00000000" w:rsidRDefault="00000000" w:rsidRPr="00000000" w14:paraId="0000007E">
      <w:pPr>
        <w:pStyle w:val="Heading2"/>
        <w:numPr>
          <w:ilvl w:val="0"/>
          <w:numId w:val="5"/>
        </w:numPr>
        <w:spacing w:after="240" w:before="240" w:line="276" w:lineRule="auto"/>
        <w:ind w:left="720" w:hanging="360"/>
        <w:rPr>
          <w:rFonts w:ascii="Arial" w:cs="Arial" w:eastAsia="Arial" w:hAnsi="Arial"/>
          <w:color w:val="039be5"/>
          <w:sz w:val="40"/>
          <w:szCs w:val="40"/>
        </w:rPr>
      </w:pPr>
      <w:bookmarkStart w:colFirst="0" w:colLast="0" w:name="_1o323q9ndx0n" w:id="13"/>
      <w:bookmarkEnd w:id="13"/>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b w:val="1"/>
                <w:bCs w:val="1"/>
              </w:rPr>
            </w:pPr>
            <w:r w:rsidDel="00000000" w:rsidR="00000000" w:rsidRPr="00000000">
              <w:rPr>
                <w:b w:val="1"/>
                <w:bCs w:val="1"/>
                <w:rtl w:val="0"/>
              </w:rPr>
              <w:t xml:space="preserve">Repositorio en la nube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Repositorio privado con el código fuente de la API REST, organizado dentro de la carpeta </w:t>
            </w:r>
            <w:r w:rsidDel="00000000" w:rsidR="00000000" w:rsidRPr="00000000">
              <w:rPr>
                <w:rFonts w:ascii="Roboto Mono" w:cs="Roboto Mono" w:eastAsia="Roboto Mono" w:hAnsi="Roboto Mono"/>
                <w:color w:val="188038"/>
                <w:rtl w:val="0"/>
              </w:rPr>
              <w:t xml:space="preserve">P1</w:t>
            </w: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b w:val="1"/>
                <w:bCs w:val="1"/>
              </w:rPr>
            </w:pPr>
            <w:r w:rsidDel="00000000" w:rsidR="00000000" w:rsidRPr="00000000">
              <w:rPr>
                <w:b w:val="1"/>
                <w:bCs w:val="1"/>
                <w:rtl w:val="0"/>
              </w:rPr>
              <w:t xml:space="preserve">README en Markdown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Documento que incluye: explicación con palabras propias de los 5 principios SOLID y evidencia de su aplicación en el código (archivo/clase, justificación y fragmentos de código reales). </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b w:val="1"/>
                <w:bCs w:val="1"/>
              </w:rPr>
            </w:pPr>
            <w:r w:rsidDel="00000000" w:rsidR="00000000" w:rsidRPr="00000000">
              <w:rPr>
                <w:b w:val="1"/>
                <w:bCs w:val="1"/>
                <w:rtl w:val="0"/>
              </w:rPr>
              <w:t xml:space="preserve">Enlace en UEDI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Subir el enlace del repositorio a la plataforma UEDI antes de la fecha límite. </w:t>
            </w:r>
          </w:p>
        </w:tc>
      </w:tr>
    </w:tbl>
    <w:p w:rsidR="00000000" w:rsidDel="00000000" w:rsidP="00000000" w:rsidRDefault="00000000" w:rsidRPr="00000000" w14:paraId="00000087">
      <w:pPr>
        <w:spacing w:after="240" w:before="240" w:line="276" w:lineRule="auto"/>
        <w:rPr>
          <w:b w:val="1"/>
          <w:bCs w:val="1"/>
        </w:rPr>
      </w:pPr>
      <w:r w:rsidDel="00000000" w:rsidR="00000000" w:rsidRPr="00000000">
        <w:rPr>
          <w:rtl w:val="0"/>
        </w:rPr>
      </w:r>
    </w:p>
    <w:p w:rsidR="00000000" w:rsidDel="00000000" w:rsidP="00000000" w:rsidRDefault="00000000" w:rsidRPr="00000000" w14:paraId="00000088">
      <w:pPr>
        <w:pStyle w:val="Heading1"/>
        <w:numPr>
          <w:ilvl w:val="0"/>
          <w:numId w:val="5"/>
        </w:numPr>
        <w:ind w:left="720" w:hanging="360"/>
        <w:rPr/>
      </w:pPr>
      <w:bookmarkStart w:colFirst="0" w:colLast="0" w:name="_7d4n8x4rkvuo" w:id="14"/>
      <w:bookmarkEnd w:id="14"/>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Sam Newman — </w:t>
      </w:r>
      <w:r w:rsidDel="00000000" w:rsidR="00000000" w:rsidRPr="00000000">
        <w:rPr>
          <w:i w:val="1"/>
          <w:iCs w:val="1"/>
          <w:rtl w:val="0"/>
        </w:rPr>
        <w:t xml:space="preserve">Building Microservices</w:t>
      </w:r>
      <w:r w:rsidDel="00000000" w:rsidR="00000000" w:rsidRPr="00000000">
        <w:rPr>
          <w:rtl w:val="0"/>
        </w:rPr>
        <w:t xml:space="preserve"> (O'Reilly)</w:t>
      </w:r>
    </w:p>
    <w:p w:rsidR="00000000" w:rsidDel="00000000" w:rsidP="00000000" w:rsidRDefault="00000000" w:rsidRPr="00000000" w14:paraId="0000008A">
      <w:pPr>
        <w:numPr>
          <w:ilvl w:val="0"/>
          <w:numId w:val="6"/>
        </w:numPr>
        <w:ind w:left="720" w:hanging="360"/>
      </w:pPr>
      <w:hyperlink r:id="rId8">
        <w:r w:rsidDel="00000000" w:rsidR="00000000" w:rsidRPr="00000000">
          <w:rPr>
            <w:color w:val="1155cc"/>
            <w:u w:val="single"/>
            <w:rtl w:val="0"/>
          </w:rPr>
          <w:t xml:space="preserve">Documentación oficial de OAuth 2.0</w:t>
        </w:r>
      </w:hyperlink>
      <w:r w:rsidDel="00000000" w:rsidR="00000000" w:rsidRPr="00000000">
        <w:rPr>
          <w:rtl w:val="0"/>
        </w:rPr>
      </w:r>
    </w:p>
    <w:p w:rsidR="00000000" w:rsidDel="00000000" w:rsidP="00000000" w:rsidRDefault="00000000" w:rsidRPr="00000000" w14:paraId="0000008B">
      <w:pPr>
        <w:numPr>
          <w:ilvl w:val="0"/>
          <w:numId w:val="6"/>
        </w:numPr>
        <w:ind w:left="720" w:hanging="360"/>
      </w:pPr>
      <w:hyperlink r:id="rId9">
        <w:r w:rsidDel="00000000" w:rsidR="00000000" w:rsidRPr="00000000">
          <w:rPr>
            <w:color w:val="1155cc"/>
            <w:u w:val="single"/>
            <w:rtl w:val="0"/>
          </w:rPr>
          <w:t xml:space="preserve">Documentación de Apache Kafka</w:t>
        </w:r>
      </w:hyperlink>
      <w:r w:rsidDel="00000000" w:rsidR="00000000" w:rsidRPr="00000000">
        <w:rPr>
          <w:rtl w:val="0"/>
        </w:rPr>
      </w:r>
    </w:p>
    <w:p w:rsidR="00000000" w:rsidDel="00000000" w:rsidP="00000000" w:rsidRDefault="00000000" w:rsidRPr="00000000" w14:paraId="0000008C">
      <w:pPr>
        <w:numPr>
          <w:ilvl w:val="0"/>
          <w:numId w:val="6"/>
        </w:numPr>
        <w:ind w:left="720" w:hanging="360"/>
      </w:pPr>
      <w:hyperlink r:id="rId10">
        <w:r w:rsidDel="00000000" w:rsidR="00000000" w:rsidRPr="00000000">
          <w:rPr>
            <w:color w:val="1155cc"/>
            <w:u w:val="single"/>
            <w:rtl w:val="0"/>
          </w:rPr>
          <w:t xml:space="preserve">Documentación de RabbitMQ</w:t>
        </w:r>
      </w:hyperlink>
      <w:r w:rsidDel="00000000" w:rsidR="00000000" w:rsidRPr="00000000">
        <w:rPr>
          <w:rtl w:val="0"/>
        </w:rPr>
      </w:r>
    </w:p>
    <w:p w:rsidR="00000000" w:rsidDel="00000000" w:rsidP="00000000" w:rsidRDefault="00000000" w:rsidRPr="00000000" w14:paraId="0000008D">
      <w:pPr>
        <w:numPr>
          <w:ilvl w:val="0"/>
          <w:numId w:val="6"/>
        </w:numPr>
        <w:ind w:left="720" w:hanging="360"/>
      </w:pPr>
      <w:hyperlink r:id="rId11">
        <w:r w:rsidDel="00000000" w:rsidR="00000000" w:rsidRPr="00000000">
          <w:rPr>
            <w:color w:val="1155cc"/>
            <w:u w:val="single"/>
            <w:rtl w:val="0"/>
          </w:rPr>
          <w:t xml:space="preserve">AWS Architecture Best Practices</w:t>
        </w:r>
      </w:hyperlink>
      <w:r w:rsidDel="00000000" w:rsidR="00000000" w:rsidRPr="00000000">
        <w:rPr>
          <w:rtl w:val="0"/>
        </w:rPr>
      </w:r>
    </w:p>
    <w:p w:rsidR="00000000" w:rsidDel="00000000" w:rsidP="00000000" w:rsidRDefault="00000000" w:rsidRPr="00000000" w14:paraId="0000008E">
      <w:pPr>
        <w:numPr>
          <w:ilvl w:val="0"/>
          <w:numId w:val="6"/>
        </w:numPr>
        <w:ind w:left="720" w:hanging="360"/>
      </w:pPr>
      <w:hyperlink r:id="rId12">
        <w:r w:rsidDel="00000000" w:rsidR="00000000" w:rsidRPr="00000000">
          <w:rPr>
            <w:color w:val="1155cc"/>
            <w:u w:val="single"/>
            <w:rtl w:val="0"/>
          </w:rPr>
          <w:t xml:space="preserve">GCP Architecture Framework</w:t>
        </w:r>
      </w:hyperlink>
      <w:r w:rsidDel="00000000" w:rsidR="00000000" w:rsidRPr="00000000">
        <w:rPr>
          <w:rtl w:val="0"/>
        </w:rPr>
      </w:r>
    </w:p>
    <w:p w:rsidR="00000000" w:rsidDel="00000000" w:rsidP="00000000" w:rsidRDefault="00000000" w:rsidRPr="00000000" w14:paraId="0000008F">
      <w:pPr>
        <w:numPr>
          <w:ilvl w:val="0"/>
          <w:numId w:val="6"/>
        </w:numPr>
        <w:ind w:left="720" w:hanging="360"/>
      </w:pPr>
      <w:hyperlink r:id="rId13">
        <w:r w:rsidDel="00000000" w:rsidR="00000000" w:rsidRPr="00000000">
          <w:rPr>
            <w:color w:val="1155cc"/>
            <w:u w:val="single"/>
            <w:rtl w:val="0"/>
          </w:rPr>
          <w:t xml:space="preserve">API Gateway Pattern — Microsoft</w:t>
        </w:r>
      </w:hyperlink>
      <w:r w:rsidDel="00000000" w:rsidR="00000000" w:rsidRPr="00000000">
        <w:rPr>
          <w:rtl w:val="0"/>
        </w:rPr>
      </w:r>
    </w:p>
    <w:p w:rsidR="00000000" w:rsidDel="00000000" w:rsidP="00000000" w:rsidRDefault="00000000" w:rsidRPr="00000000" w14:paraId="00000090">
      <w:pPr>
        <w:numPr>
          <w:ilvl w:val="0"/>
          <w:numId w:val="6"/>
        </w:numPr>
        <w:ind w:left="720" w:hanging="360"/>
      </w:pPr>
      <w:hyperlink r:id="rId14">
        <w:r w:rsidDel="00000000" w:rsidR="00000000" w:rsidRPr="00000000">
          <w:rPr>
            <w:color w:val="1155cc"/>
            <w:u w:val="single"/>
            <w:rtl w:val="0"/>
          </w:rPr>
          <w:t xml:space="preserve">Guía de diagramas con Draw.io</w:t>
        </w:r>
      </w:hyperlink>
      <w:r w:rsidDel="00000000" w:rsidR="00000000" w:rsidRPr="00000000">
        <w:rPr>
          <w:rtl w:val="0"/>
        </w:rPr>
      </w:r>
    </w:p>
    <w:p w:rsidR="00000000" w:rsidDel="00000000" w:rsidP="00000000" w:rsidRDefault="00000000" w:rsidRPr="00000000" w14:paraId="00000091">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l5xttmw8l5w0" w:id="15"/>
      <w:bookmarkEnd w:id="15"/>
      <w:r w:rsidDel="00000000" w:rsidR="00000000" w:rsidRPr="00000000">
        <w:rPr>
          <w:rtl w:val="0"/>
        </w:rPr>
        <w:t xml:space="preserve">Recursos y herramientas a utilizar</w:t>
      </w:r>
    </w:p>
    <w:p w:rsidR="00000000" w:rsidDel="00000000" w:rsidP="00000000" w:rsidRDefault="00000000" w:rsidRPr="00000000" w14:paraId="00000092">
      <w:pPr>
        <w:numPr>
          <w:ilvl w:val="0"/>
          <w:numId w:val="4"/>
        </w:numPr>
        <w:spacing w:after="240" w:lineRule="auto"/>
        <w:ind w:left="720" w:hanging="360"/>
      </w:pPr>
      <w:r w:rsidDel="00000000" w:rsidR="00000000" w:rsidRPr="00000000">
        <w:rPr>
          <w:b w:val="1"/>
          <w:bCs w:val="1"/>
          <w:rtl w:val="0"/>
        </w:rPr>
        <w:t xml:space="preserve">Herramientas de modelado: Draw.io / Lucidchart / Miro / ArchiMate (para diagramas de arquitectura y ER).</w:t>
      </w:r>
    </w:p>
    <w:p w:rsidR="00000000" w:rsidDel="00000000" w:rsidP="00000000" w:rsidRDefault="00000000" w:rsidRPr="00000000" w14:paraId="00000093">
      <w:pPr>
        <w:numPr>
          <w:ilvl w:val="0"/>
          <w:numId w:val="4"/>
        </w:numPr>
        <w:spacing w:after="240" w:lineRule="auto"/>
        <w:ind w:left="720" w:hanging="360"/>
      </w:pPr>
      <w:r w:rsidDel="00000000" w:rsidR="00000000" w:rsidRPr="00000000">
        <w:rPr>
          <w:b w:val="1"/>
          <w:bCs w:val="1"/>
          <w:rtl w:val="0"/>
        </w:rPr>
        <w:t xml:space="preserve">Repositorio: GitHub / GitLab.</w:t>
      </w:r>
    </w:p>
    <w:p w:rsidR="00000000" w:rsidDel="00000000" w:rsidP="00000000" w:rsidRDefault="00000000" w:rsidRPr="00000000" w14:paraId="00000094">
      <w:pPr>
        <w:numPr>
          <w:ilvl w:val="0"/>
          <w:numId w:val="4"/>
        </w:numPr>
        <w:spacing w:after="240" w:lineRule="auto"/>
        <w:ind w:left="720" w:hanging="360"/>
      </w:pPr>
      <w:r w:rsidDel="00000000" w:rsidR="00000000" w:rsidRPr="00000000">
        <w:rPr>
          <w:b w:val="1"/>
          <w:bCs w:val="1"/>
          <w:rtl w:val="0"/>
        </w:rPr>
        <w:t xml:space="preserve">Contenedores (opcional): Docker, Kubernetes.</w:t>
      </w:r>
    </w:p>
    <w:p w:rsidR="00000000" w:rsidDel="00000000" w:rsidP="00000000" w:rsidRDefault="00000000" w:rsidRPr="00000000" w14:paraId="00000095">
      <w:pPr>
        <w:numPr>
          <w:ilvl w:val="0"/>
          <w:numId w:val="4"/>
        </w:numPr>
        <w:spacing w:after="240" w:lineRule="auto"/>
        <w:ind w:left="720" w:hanging="360"/>
      </w:pPr>
      <w:r w:rsidDel="00000000" w:rsidR="00000000" w:rsidRPr="00000000">
        <w:rPr>
          <w:b w:val="1"/>
          <w:bCs w:val="1"/>
          <w:rtl w:val="0"/>
        </w:rPr>
        <w:t xml:space="preserve">Lecturas recomendadas: Building Microservices (Sam Newman), documentación oficial de las herramientas de mensajería elegidas, guías de API Gateway.</w:t>
      </w:r>
    </w:p>
    <w:p w:rsidR="00000000" w:rsidDel="00000000" w:rsidP="00000000" w:rsidRDefault="00000000" w:rsidRPr="00000000" w14:paraId="00000096">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1rfdtxkuomoh" w:id="16"/>
      <w:bookmarkEnd w:id="16"/>
      <w:r w:rsidDel="00000000" w:rsidR="00000000" w:rsidRPr="00000000">
        <w:rPr>
          <w:rtl w:val="0"/>
        </w:rPr>
        <w:t xml:space="preserve">Cronograma</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Asignación de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XX/07/2026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XX/07/2026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XX/07/2026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XX/07/2026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XX/07/2026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XX/07/2026</w:t>
            </w:r>
          </w:p>
        </w:tc>
      </w:tr>
    </w:tbl>
    <w:p w:rsidR="00000000" w:rsidDel="00000000" w:rsidP="00000000" w:rsidRDefault="00000000" w:rsidRPr="00000000" w14:paraId="000000A3">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8b6w6jve0wq9" w:id="17"/>
      <w:bookmarkEnd w:id="17"/>
      <w:r w:rsidDel="00000000" w:rsidR="00000000" w:rsidRPr="00000000">
        <w:rPr>
          <w:rtl w:val="0"/>
        </w:rPr>
        <w:t xml:space="preserve">Rúbrica de Calificación</w:t>
      </w:r>
    </w:p>
    <w:p w:rsidR="00000000" w:rsidDel="00000000" w:rsidP="00000000" w:rsidRDefault="00000000" w:rsidRPr="00000000" w14:paraId="000000A4">
      <w:pPr>
        <w:pStyle w:val="Heading2"/>
        <w:keepNext w:val="0"/>
        <w:keepLines w:val="0"/>
        <w:spacing w:after="40" w:before="240" w:line="276" w:lineRule="auto"/>
        <w:ind w:left="0" w:firstLine="0"/>
        <w:rPr/>
      </w:pPr>
      <w:bookmarkStart w:colFirst="0" w:colLast="0" w:name="_v0lagpbomi1l" w:id="18"/>
      <w:bookmarkEnd w:id="18"/>
      <w:r w:rsidDel="00000000" w:rsidR="00000000" w:rsidRPr="00000000">
        <w:rPr>
          <w:rtl w:val="0"/>
        </w:rPr>
        <w:t xml:space="preserve">8.1 Requisitos para optar a la calificación</w:t>
      </w:r>
    </w:p>
    <w:p w:rsidR="00000000" w:rsidDel="00000000" w:rsidP="00000000" w:rsidRDefault="00000000" w:rsidRPr="00000000" w14:paraId="000000A5">
      <w:pPr>
        <w:spacing w:after="240" w:before="240" w:line="276" w:lineRule="auto"/>
        <w:rPr>
          <w:b w:val="1"/>
          <w:bCs w:val="1"/>
        </w:rPr>
      </w:pPr>
      <w:r w:rsidDel="00000000" w:rsidR="00000000" w:rsidRPr="00000000">
        <w:rPr>
          <w:rtl w:val="0"/>
        </w:rPr>
        <w:t xml:space="preserve">Antes de la evaluación de la práctica, los estudiantes deben cumplir con los requisitos que se indiquen en esta sección.</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Arquitectura definida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Existe diagrama claro y coherente del sistema.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 </w:t>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Microservicios definidos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Separación adecuada de responsabilidades entre servicios.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 </w:t>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Modelo ER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Diagramas ER completos por cada microservicio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Flujo de aprobación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Flujo de 3 pasos explicado correctamente.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Repositorio correcto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Cumple con el formato de nombre solicitado y carpeta P3 incluida.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r>
          </w:p>
        </w:tc>
      </w:tr>
    </w:tbl>
    <w:p w:rsidR="00000000" w:rsidDel="00000000" w:rsidP="00000000" w:rsidRDefault="00000000" w:rsidRPr="00000000" w14:paraId="000000B8">
      <w:pPr>
        <w:spacing w:line="276" w:lineRule="auto"/>
        <w:rPr/>
      </w:pPr>
      <w:r w:rsidDel="00000000" w:rsidR="00000000" w:rsidRPr="00000000">
        <w:rPr>
          <w:rtl w:val="0"/>
        </w:rPr>
      </w:r>
    </w:p>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pStyle w:val="Heading2"/>
        <w:keepNext w:val="0"/>
        <w:keepLines w:val="0"/>
        <w:spacing w:line="276" w:lineRule="auto"/>
        <w:ind w:left="0" w:firstLine="0"/>
        <w:rPr/>
      </w:pPr>
      <w:bookmarkStart w:colFirst="0" w:colLast="0" w:name="_gqp06fjjs7ec" w:id="19"/>
      <w:bookmarkEnd w:id="19"/>
      <w:r w:rsidDel="00000000" w:rsidR="00000000" w:rsidRPr="00000000">
        <w:rPr>
          <w:rtl w:val="0"/>
        </w:rPr>
        <w:t xml:space="preserve">8.2 Resumen de Puntuaciones</w:t>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Calidad del diseño arquitectónico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Modelo ER correcto (por microservicio)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Separación adecuada de microservicios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Organización del repositorio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Preguntas teóricas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jc w:val="center"/>
              <w:rPr>
                <w:b w:val="1"/>
                <w:bCs w:val="1"/>
              </w:rPr>
            </w:pPr>
            <w:r w:rsidDel="00000000" w:rsidR="00000000" w:rsidRPr="00000000">
              <w:rPr>
                <w:b w:val="1"/>
                <w:bCs w:val="1"/>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Diagrama de Arquitectura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Descripción de la solución (integración P2 y reglas de negocio)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Reflejo de las reglas de validación del negocio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Descripción técnica de tecnologías y patrones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jc w:val="center"/>
              <w:rPr>
                <w:b w:val="1"/>
                <w:bCs w:val="1"/>
              </w:rPr>
            </w:pPr>
            <w:r w:rsidDel="00000000" w:rsidR="00000000" w:rsidRPr="00000000">
              <w:rPr>
                <w:b w:val="1"/>
                <w:bCs w:val="1"/>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rPr>
                <w:b w:val="1"/>
                <w:bCs w:val="1"/>
              </w:rPr>
            </w:pPr>
            <w:r w:rsidDel="00000000" w:rsidR="00000000" w:rsidRPr="00000000">
              <w:rPr>
                <w:rtl w:val="0"/>
              </w:rPr>
            </w:r>
          </w:p>
        </w:tc>
      </w:tr>
    </w:tbl>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sectPr>
          <w:headerReference r:id="rId15" w:type="default"/>
          <w:headerReference r:id="rId16" w:type="first"/>
          <w:footerReference r:id="rId17" w:type="default"/>
          <w:footerReference r:id="rId18"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Heading2"/>
        <w:keepNext w:val="0"/>
        <w:keepLines w:val="0"/>
        <w:spacing w:before="280" w:lineRule="auto"/>
        <w:rPr/>
      </w:pPr>
      <w:bookmarkStart w:colFirst="0" w:colLast="0" w:name="_qbizneob8jpq" w:id="20"/>
      <w:bookmarkEnd w:id="20"/>
      <w:r w:rsidDel="00000000" w:rsidR="00000000" w:rsidRPr="00000000">
        <w:rPr>
          <w:rtl w:val="0"/>
        </w:rPr>
        <w:t xml:space="preserve">Detalle de la Calificación</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0F0">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0F8">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0FA">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C">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D">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t xml:space="preserve">Calidad del diseño arquitectónico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pPr>
            <w:r w:rsidDel="00000000" w:rsidR="00000000" w:rsidRPr="00000000">
              <w:rPr>
                <w:rtl w:val="0"/>
              </w:rPr>
              <w:t xml:space="preserve">Arquitectura coherente, escalable y correctamente segmentada, que contempla todos los componentes requeridos (OAuth, API Gateway, servicios, almacenamiento, logging). </w:t>
            </w:r>
          </w:p>
        </w:tc>
        <w:tc>
          <w:tcPr>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t xml:space="preserve">Arquitectura incompleta, confusa o sin separación clara de componentes. No cumple con los lineamientos de microservicios.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rPr/>
            </w:pPr>
            <w:r w:rsidDel="00000000" w:rsidR="00000000" w:rsidRPr="00000000">
              <w:rPr>
                <w:rtl w:val="0"/>
              </w:rPr>
              <w:t xml:space="preserve">20-13 pts</w:t>
            </w:r>
          </w:p>
        </w:tc>
        <w:tc>
          <w:tcPr>
            <w:tcMar>
              <w:top w:w="100.0" w:type="dxa"/>
              <w:left w:w="100.0" w:type="dxa"/>
              <w:bottom w:w="10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t xml:space="preserve">12-0 pts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t xml:space="preserve">Modelo ER correcto (por microservicio)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rPr/>
            </w:pPr>
            <w:r w:rsidDel="00000000" w:rsidR="00000000" w:rsidRPr="00000000">
              <w:rPr>
                <w:rtl w:val="0"/>
              </w:rPr>
              <w:t xml:space="preserve">ER separado por microservicio, cumpliendo con el diseño lógico necesario para soportar las transacciones de cada servicio.  </w:t>
            </w:r>
          </w:p>
        </w:tc>
        <w:tc>
          <w:tcPr>
            <w:tcMar>
              <w:top w:w="100.0" w:type="dxa"/>
              <w:left w:w="100.0" w:type="dxa"/>
              <w:bottom w:w="100.0" w:type="dxa"/>
              <w:right w:w="100.0" w:type="dxa"/>
            </w:tcMar>
            <w:vAlign w:val="top"/>
          </w:tcPr>
          <w:p w:rsidR="00000000" w:rsidDel="00000000" w:rsidP="00000000" w:rsidRDefault="00000000" w:rsidRPr="00000000" w14:paraId="00000116">
            <w:pPr>
              <w:spacing w:line="276" w:lineRule="auto"/>
              <w:rPr/>
            </w:pPr>
            <w:r w:rsidDel="00000000" w:rsidR="00000000" w:rsidRPr="00000000">
              <w:rPr>
                <w:rtl w:val="0"/>
              </w:rPr>
              <w:t xml:space="preserve">Sin separación de bases de datos por microservicio o diseño deficiente de los modelos.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rPr>
                <w:b w:val="1"/>
                <w:bCs w:val="1"/>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rPr/>
            </w:pPr>
            <w:r w:rsidDel="00000000" w:rsidR="00000000" w:rsidRPr="00000000">
              <w:rPr>
                <w:rtl w:val="0"/>
              </w:rPr>
              <w:t xml:space="preserve">Separación adecuada de microservicios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rPr/>
            </w:pPr>
            <w:r w:rsidDel="00000000" w:rsidR="00000000" w:rsidRPr="00000000">
              <w:rPr>
                <w:rtl w:val="0"/>
              </w:rPr>
              <w:t xml:space="preserve">Se definen al menos 3 microservicios con responsabilidades claramente diferenciadas y sin acoplamiento indebido. </w:t>
            </w:r>
          </w:p>
        </w:tc>
        <w:tc>
          <w:tcPr>
            <w:tcMar>
              <w:top w:w="100.0" w:type="dxa"/>
              <w:left w:w="100.0" w:type="dxa"/>
              <w:bottom w:w="100.0" w:type="dxa"/>
              <w:right w:w="100.0" w:type="dxa"/>
            </w:tcMar>
            <w:vAlign w:val="top"/>
          </w:tcPr>
          <w:p w:rsidR="00000000" w:rsidDel="00000000" w:rsidP="00000000" w:rsidRDefault="00000000" w:rsidRPr="00000000" w14:paraId="0000011D">
            <w:pPr>
              <w:spacing w:line="276" w:lineRule="auto"/>
              <w:rPr/>
            </w:pPr>
            <w:r w:rsidDel="00000000" w:rsidR="00000000" w:rsidRPr="00000000">
              <w:rPr>
                <w:rtl w:val="0"/>
              </w:rPr>
              <w:t xml:space="preserve">Los microservicios no están correctamente separados o sus responsabilidades se solapan.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rPr>
                <w:b w:val="1"/>
                <w:bCs w:val="1"/>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6">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7">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8">
            <w:pPr>
              <w:spacing w:line="276"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t xml:space="preserve">Diagrama de Arquitectura General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t xml:space="preserve">El diagrama modela correctamente todos los componentes del sistema (servicios, API Gateway, OAuth, sistema financiero externo, almacenamiento, logging) y su comunicación.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t xml:space="preserve">El diagrama es incompleto, no sigue los lineamientos de microservicios o no refleja los componentes requeridos.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t xml:space="preserve">10 - 7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t xml:space="preserve">6 - 0 pts</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Descripción de la solución (integración con P2 y reglas de negocio)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pPr>
            <w:r w:rsidDel="00000000" w:rsidR="00000000" w:rsidRPr="00000000">
              <w:rPr>
                <w:rtl w:val="0"/>
              </w:rPr>
              <w:t xml:space="preserve">La descripción detalla cómo se integra el módulo de autenticación de la Práctica 2, respondiendo a las preguntas necesarias para validar el conocimiento del diseño.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No incluye la integración con la Práctica 2 o la descripción no responde las preguntas de validación.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t xml:space="preserve">Reflejo de las reglas de validación del negocio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t xml:space="preserve">La arquitectura refleja correctamente todas las reglas del negocio: flujo de aprobación de 3 pasos, envío de correos al aprobar, historial consultable y logging auditable.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pPr>
            <w:r w:rsidDel="00000000" w:rsidR="00000000" w:rsidRPr="00000000">
              <w:rPr>
                <w:rtl w:val="0"/>
              </w:rPr>
              <w:t xml:space="preserve">El diseño omite o modela incorrectamente alguna de las reglas de negocio requeridas.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Descripción técnica de tecnologías y patrones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t xml:space="preserve">El documento de solución describe de forma concisa las tecnologías elegidas, los patrones de diseño a implementar y justifica su uso en el contexto de la arquitectura propuesta.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t xml:space="preserve">La descripción es vaga, sin justificación del uso de tecnologías o sin mención de patrones de diseño.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b w:val="1"/>
                <w:bCs w:val="1"/>
              </w:rPr>
            </w:pPr>
            <w:r w:rsidDel="00000000" w:rsidR="00000000" w:rsidRPr="00000000">
              <w:rPr>
                <w:rtl w:val="0"/>
              </w:rPr>
            </w:r>
          </w:p>
        </w:tc>
      </w:tr>
    </w:tbl>
    <w:p w:rsidR="00000000" w:rsidDel="00000000" w:rsidP="00000000" w:rsidRDefault="00000000" w:rsidRPr="00000000" w14:paraId="0000015E">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t xml:space="preserve">Software Avanzado</w:t>
    </w:r>
  </w:p>
  <w:p w:rsidR="00000000" w:rsidDel="00000000" w:rsidP="00000000" w:rsidRDefault="00000000" w:rsidRPr="00000000" w14:paraId="00000160">
    <w:pPr>
      <w:rPr/>
    </w:pPr>
    <w:r w:rsidDel="00000000" w:rsidR="00000000" w:rsidRPr="00000000">
      <w:rPr>
        <w:rtl w:val="0"/>
      </w:rPr>
      <w:t xml:space="preserve">Práctica - Vigente para el Segundo Semestre 2026 </w:t>
    </w:r>
  </w:p>
  <w:p w:rsidR="00000000" w:rsidDel="00000000" w:rsidP="00000000" w:rsidRDefault="00000000" w:rsidRPr="00000000" w14:paraId="00000161">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ws.amazon.com/architecture/" TargetMode="External"/><Relationship Id="rId10" Type="http://schemas.openxmlformats.org/officeDocument/2006/relationships/hyperlink" Target="https://www.rabbitmq.com/documentation.html" TargetMode="External"/><Relationship Id="rId13" Type="http://schemas.openxmlformats.org/officeDocument/2006/relationships/hyperlink" Target="https://learn.microsoft.com/en-us/azure/architecture/microservices/design/gateway" TargetMode="External"/><Relationship Id="rId12" Type="http://schemas.openxmlformats.org/officeDocument/2006/relationships/hyperlink" Target="https://cloud.google.com/architecture/frame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afka.apache.org/documentation/" TargetMode="External"/><Relationship Id="rId15" Type="http://schemas.openxmlformats.org/officeDocument/2006/relationships/header" Target="header1.xml"/><Relationship Id="rId14" Type="http://schemas.openxmlformats.org/officeDocument/2006/relationships/hyperlink" Target="https://www.drawio.com/"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hyperlink" Target="https://oauth.net/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