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Graphviz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https://www.canva.com/design/DAGVk1xx6GE/opv6AV0SmOECo9H73lDnmA/view?utm_content=DAGVk1xx6GE&amp;utm_campaign=designshare&amp;utm_medium=link2&amp;utm_source=uniquelinks&amp;utlId=h9a943ce54d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Lista doblemente enlazada (última diapositiva):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https://www.canva.com/design/DAGogmgSwfc/Vb2-x3S-vm8-GVCN6M8qkw/edit?utm_content=DAGogmgSwfc&amp;utm_campaign=designshare&amp;utm_medium=link2&amp;utm_source=sharebutton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k1xx6GE/opv6AV0SmOECo9H73lDnmA/view?utm_content=DAGVk1xx6GE&amp;utm_campaign=designshare&amp;utm_medium=link2&amp;utm_source=uniquelinks&amp;utlId=h9a943ce54d" TargetMode="External"/><Relationship Id="rId7" Type="http://schemas.openxmlformats.org/officeDocument/2006/relationships/hyperlink" Target="https://www.canva.com/design/DAGogmgSwfc/Vb2-x3S-vm8-GVCN6M8qkw/edit?utm_content=DAGogmgSwfc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