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123F3" w14:textId="0E9D089B" w:rsidR="00BE00BB" w:rsidRDefault="00BE00BB" w:rsidP="00BE00BB">
      <w:pPr>
        <w:pStyle w:val="Heading2"/>
      </w:pPr>
      <w:r w:rsidRPr="00BE00BB">
        <w:t>MÓDULOS Y PROCEDIMIENTOS</w:t>
      </w:r>
    </w:p>
    <w:p w14:paraId="0E5FE9DA" w14:textId="77777777" w:rsidR="00BE00BB" w:rsidRDefault="00BE00BB">
      <w:r w:rsidRPr="00BE00BB">
        <w:t xml:space="preserve"> Cuando se desarrollan programas robustos y complejos es probable que existan muchos procesos comunes. En estos casos es necesario pensar en subprogramas que realicen una tarea específica denominados procedimientos o funciones. Y para los casos que se necesite compartir variables globales y procedimientos en varios formularios se trabaja con módulos.</w:t>
      </w:r>
    </w:p>
    <w:p w14:paraId="26B1E61B" w14:textId="77777777" w:rsidR="00BE00BB" w:rsidRDefault="00BE00BB"/>
    <w:p w14:paraId="5DFAAEDA" w14:textId="77777777" w:rsidR="00BE00BB" w:rsidRDefault="00BE00BB" w:rsidP="00BE00BB">
      <w:pPr>
        <w:pStyle w:val="Heading3"/>
      </w:pPr>
      <w:r w:rsidRPr="00BE00BB">
        <w:t>Módulos</w:t>
      </w:r>
    </w:p>
    <w:p w14:paraId="5786F687" w14:textId="0A6EF6B2" w:rsidR="00F578E8" w:rsidRDefault="00BE00BB">
      <w:r w:rsidRPr="00BE00BB">
        <w:t xml:space="preserve">Es un contenedor que se visualiza de forma independiente en el explorador de soluciones y solamente se le puede incluir código y no tendrá interfaz gráfica. Puede contener variables globales o públicas, procedimientos sub y </w:t>
      </w:r>
      <w:proofErr w:type="spellStart"/>
      <w:r w:rsidRPr="00BE00BB">
        <w:t>function</w:t>
      </w:r>
      <w:proofErr w:type="spellEnd"/>
      <w:r w:rsidRPr="00BE00BB">
        <w:t xml:space="preserve"> y estos pueden ser compartidos por varios formularios.</w:t>
      </w:r>
    </w:p>
    <w:p w14:paraId="2AE146C3" w14:textId="7C0120DC" w:rsidR="00BE00BB" w:rsidRDefault="00BE00BB">
      <w:r w:rsidRPr="00BE00BB">
        <w:drawing>
          <wp:inline distT="0" distB="0" distL="0" distR="0" wp14:anchorId="5256A383" wp14:editId="60CBC1B6">
            <wp:extent cx="4638675" cy="962025"/>
            <wp:effectExtent l="0" t="0" r="9525" b="9525"/>
            <wp:docPr id="19422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1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F811" w14:textId="77777777" w:rsidR="00BE00BB" w:rsidRDefault="00BE00BB">
      <w:r w:rsidRPr="00BE00BB">
        <w:t xml:space="preserve">Para crear un módulo dentro de un proyecto o aplicación se puede realizar de varias maneras: </w:t>
      </w:r>
    </w:p>
    <w:p w14:paraId="7CA99A01" w14:textId="56FC871B" w:rsidR="00BE00BB" w:rsidRDefault="00BE00BB">
      <w:r w:rsidRPr="00BE00BB">
        <w:sym w:font="Symbol" w:char="F0A7"/>
      </w:r>
      <w:r w:rsidRPr="00BE00BB">
        <w:t xml:space="preserve"> Desde el menú Proyecto. </w:t>
      </w:r>
    </w:p>
    <w:p w14:paraId="60580532" w14:textId="77777777" w:rsidR="00BE00BB" w:rsidRDefault="00BE00BB">
      <w:r w:rsidRPr="00BE00BB">
        <w:sym w:font="Symbol" w:char="F0A7"/>
      </w:r>
      <w:r w:rsidRPr="00BE00BB">
        <w:t xml:space="preserve"> Desde la barra de herramientas.</w:t>
      </w:r>
    </w:p>
    <w:p w14:paraId="0B200064" w14:textId="77777777" w:rsidR="00BE00BB" w:rsidRDefault="00BE00BB">
      <w:r w:rsidRPr="00BE00BB">
        <w:sym w:font="Symbol" w:char="F0A7"/>
      </w:r>
      <w:r w:rsidRPr="00BE00BB">
        <w:t xml:space="preserve"> Desde el explorador de soluciones. </w:t>
      </w:r>
    </w:p>
    <w:p w14:paraId="6A65D9C0" w14:textId="77777777" w:rsidR="00BE00BB" w:rsidRDefault="00BE00BB"/>
    <w:p w14:paraId="5EAD3CEF" w14:textId="605F866C" w:rsidR="00BE00BB" w:rsidRDefault="00BE00BB">
      <w:r w:rsidRPr="00BE00BB">
        <w:t xml:space="preserve">Para declarar una variable pública en un módulo es necesario escribir al inicio del módulo la palabra </w:t>
      </w:r>
      <w:proofErr w:type="spellStart"/>
      <w:r w:rsidRPr="00BE00BB">
        <w:t>public</w:t>
      </w:r>
      <w:proofErr w:type="spellEnd"/>
      <w:r w:rsidRPr="00BE00BB">
        <w:t xml:space="preserve"> seguido del nombre de la variable y el tipo de dato. De esta manera se podrá leer, modificar o visualizar la misma</w:t>
      </w:r>
      <w:r>
        <w:t>.</w:t>
      </w:r>
    </w:p>
    <w:p w14:paraId="6EFA0468" w14:textId="77777777" w:rsidR="00BE00BB" w:rsidRDefault="00BE00BB"/>
    <w:p w14:paraId="5781BF04" w14:textId="57FB04D5" w:rsidR="00BE00BB" w:rsidRDefault="00BE00BB" w:rsidP="00BE00BB">
      <w:pPr>
        <w:pStyle w:val="Heading2"/>
      </w:pPr>
      <w:r w:rsidRPr="00BE00BB">
        <w:t>Procedimientos y funciones</w:t>
      </w:r>
    </w:p>
    <w:p w14:paraId="017B8CB3" w14:textId="77777777" w:rsidR="00BE00BB" w:rsidRDefault="00BE00BB">
      <w:r w:rsidRPr="00BE00BB">
        <w:t xml:space="preserve">En VB.NET existen dos tipos de procedimiento: </w:t>
      </w:r>
    </w:p>
    <w:p w14:paraId="2CF30710" w14:textId="77777777" w:rsidR="00BE00BB" w:rsidRDefault="00BE00BB">
      <w:r w:rsidRPr="00BE00BB">
        <w:sym w:font="Symbol" w:char="F0A7"/>
      </w:r>
      <w:r w:rsidRPr="00BE00BB">
        <w:t xml:space="preserve"> </w:t>
      </w:r>
      <w:proofErr w:type="spellStart"/>
      <w:r w:rsidRPr="00BE00BB">
        <w:t>Function</w:t>
      </w:r>
      <w:proofErr w:type="spellEnd"/>
      <w:r w:rsidRPr="00BE00BB">
        <w:t xml:space="preserve">: pueden ser invocados por su nombre desde otros procedimientos, pueden recibir argumentos y siempre devuelven un valor con el nombre de la función. </w:t>
      </w:r>
    </w:p>
    <w:p w14:paraId="1E033406" w14:textId="77777777" w:rsidR="00BE00BB" w:rsidRDefault="00BE00BB">
      <w:r w:rsidRPr="00BE00BB">
        <w:t xml:space="preserve">Sintaxis: </w:t>
      </w:r>
    </w:p>
    <w:p w14:paraId="2D1F056F" w14:textId="77777777" w:rsidR="00BE00BB" w:rsidRDefault="00BE00BB" w:rsidP="00BE00BB">
      <w:pPr>
        <w:ind w:firstLine="708"/>
      </w:pPr>
      <w:r w:rsidRPr="00BE00BB">
        <w:t xml:space="preserve">[Modificador de acceso] </w:t>
      </w:r>
      <w:proofErr w:type="spellStart"/>
      <w:r w:rsidRPr="00BE00BB">
        <w:t>Function</w:t>
      </w:r>
      <w:proofErr w:type="spellEnd"/>
      <w:r w:rsidRPr="00BE00BB">
        <w:t xml:space="preserve"> </w:t>
      </w:r>
      <w:proofErr w:type="spellStart"/>
      <w:r w:rsidRPr="00BE00BB">
        <w:t>nombre_función</w:t>
      </w:r>
      <w:proofErr w:type="spellEnd"/>
      <w:r w:rsidRPr="00BE00BB">
        <w:t xml:space="preserve">(argumentos) As tipo </w:t>
      </w:r>
    </w:p>
    <w:p w14:paraId="607181A4" w14:textId="77777777" w:rsidR="00BE00BB" w:rsidRDefault="00BE00BB" w:rsidP="00BE00BB">
      <w:pPr>
        <w:ind w:left="708" w:firstLine="708"/>
      </w:pPr>
      <w:r w:rsidRPr="00BE00BB">
        <w:t xml:space="preserve">Instrucciones </w:t>
      </w:r>
    </w:p>
    <w:p w14:paraId="4BF3A8E3" w14:textId="77777777" w:rsidR="00BE00BB" w:rsidRDefault="00BE00BB" w:rsidP="00BE00BB">
      <w:pPr>
        <w:ind w:left="708" w:firstLine="708"/>
      </w:pPr>
      <w:proofErr w:type="spellStart"/>
      <w:r w:rsidRPr="00BE00BB">
        <w:lastRenderedPageBreak/>
        <w:t>Nombre_función</w:t>
      </w:r>
      <w:proofErr w:type="spellEnd"/>
      <w:r w:rsidRPr="00BE00BB">
        <w:t xml:space="preserve"> = valor a retornar </w:t>
      </w:r>
    </w:p>
    <w:p w14:paraId="4B7BA640" w14:textId="77777777" w:rsidR="00BE00BB" w:rsidRDefault="00BE00BB" w:rsidP="00BE00BB">
      <w:pPr>
        <w:ind w:left="708"/>
      </w:pPr>
      <w:proofErr w:type="spellStart"/>
      <w:r w:rsidRPr="00BE00BB">
        <w:t>End</w:t>
      </w:r>
      <w:proofErr w:type="spellEnd"/>
      <w:r w:rsidRPr="00BE00BB">
        <w:t xml:space="preserve"> </w:t>
      </w:r>
      <w:proofErr w:type="spellStart"/>
      <w:r w:rsidRPr="00BE00BB">
        <w:t>Function</w:t>
      </w:r>
      <w:proofErr w:type="spellEnd"/>
      <w:r w:rsidRPr="00BE00BB">
        <w:t xml:space="preserve"> </w:t>
      </w:r>
    </w:p>
    <w:p w14:paraId="314CC840" w14:textId="1FEA8074" w:rsidR="00BE00BB" w:rsidRDefault="00BE00BB" w:rsidP="00BE00BB">
      <w:r w:rsidRPr="00BE00BB">
        <w:sym w:font="Symbol" w:char="F0A7"/>
      </w:r>
      <w:r w:rsidRPr="00BE00BB">
        <w:t xml:space="preserve"> Sub: también pueden ser invocados por su nombre desde otros procedimientos, pueden recibir </w:t>
      </w:r>
      <w:r w:rsidRPr="00BE00BB">
        <w:t>argumentos,</w:t>
      </w:r>
      <w:r w:rsidRPr="00BE00BB">
        <w:t xml:space="preserve"> pero no devuelven valores. </w:t>
      </w:r>
    </w:p>
    <w:p w14:paraId="609B7F4E" w14:textId="77777777" w:rsidR="00BE00BB" w:rsidRDefault="00BE00BB" w:rsidP="00BE00BB">
      <w:r w:rsidRPr="00BE00BB">
        <w:t xml:space="preserve">Sintaxis: </w:t>
      </w:r>
    </w:p>
    <w:p w14:paraId="03D6F509" w14:textId="77777777" w:rsidR="00BE00BB" w:rsidRDefault="00BE00BB" w:rsidP="00BE00BB">
      <w:pPr>
        <w:ind w:firstLine="708"/>
      </w:pPr>
      <w:r w:rsidRPr="00BE00BB">
        <w:t xml:space="preserve">[Modificador de acceso] </w:t>
      </w:r>
      <w:proofErr w:type="gramStart"/>
      <w:r w:rsidRPr="00BE00BB">
        <w:t xml:space="preserve">Sub </w:t>
      </w:r>
      <w:proofErr w:type="spellStart"/>
      <w:r w:rsidRPr="00BE00BB">
        <w:t>nombre</w:t>
      </w:r>
      <w:proofErr w:type="gramEnd"/>
      <w:r w:rsidRPr="00BE00BB">
        <w:t>_sub</w:t>
      </w:r>
      <w:proofErr w:type="spellEnd"/>
      <w:r w:rsidRPr="00BE00BB">
        <w:t xml:space="preserve">(argumentos) </w:t>
      </w:r>
    </w:p>
    <w:p w14:paraId="0593B6FF" w14:textId="77777777" w:rsidR="00BE00BB" w:rsidRDefault="00BE00BB" w:rsidP="00BE00BB">
      <w:pPr>
        <w:ind w:left="708" w:firstLine="708"/>
      </w:pPr>
      <w:r w:rsidRPr="00BE00BB">
        <w:t xml:space="preserve">Instrucciones </w:t>
      </w:r>
    </w:p>
    <w:p w14:paraId="4217640E" w14:textId="77777777" w:rsidR="00BE00BB" w:rsidRDefault="00BE00BB" w:rsidP="00BE00BB">
      <w:pPr>
        <w:ind w:left="708"/>
      </w:pPr>
      <w:proofErr w:type="spellStart"/>
      <w:r w:rsidRPr="00BE00BB">
        <w:t>End</w:t>
      </w:r>
      <w:proofErr w:type="spellEnd"/>
      <w:r w:rsidRPr="00BE00BB">
        <w:t xml:space="preserve"> Sub </w:t>
      </w:r>
    </w:p>
    <w:p w14:paraId="661378F2" w14:textId="0EDFFDC7" w:rsidR="00BE00BB" w:rsidRDefault="00BE00BB" w:rsidP="00BE00BB">
      <w:r w:rsidRPr="00BE00BB">
        <w:t>Se recomienda definirlos dentro de un módulo para que todos los elementos de un proyecto puedan utilizarlos.</w:t>
      </w:r>
    </w:p>
    <w:p w14:paraId="202FADA3" w14:textId="77777777" w:rsidR="00BE00BB" w:rsidRDefault="00BE00BB" w:rsidP="00BE00BB"/>
    <w:p w14:paraId="42AF8751" w14:textId="77777777" w:rsidR="00BE00BB" w:rsidRDefault="00BE00BB" w:rsidP="00BE00BB">
      <w:pPr>
        <w:pStyle w:val="Heading2"/>
      </w:pPr>
      <w:r w:rsidRPr="00BE00BB">
        <w:t xml:space="preserve">Función fecha y hora </w:t>
      </w:r>
    </w:p>
    <w:p w14:paraId="0615DDC6" w14:textId="1A18C0F7" w:rsidR="00BE00BB" w:rsidRDefault="00BE00BB" w:rsidP="00BE00BB">
      <w:r w:rsidRPr="00BE00BB">
        <w:t xml:space="preserve">El objeto Date permite la manipulación de la fecha y hora. Dentro de las funciones básicas se pueden encontrar: </w:t>
      </w:r>
      <w:proofErr w:type="spellStart"/>
      <w:r w:rsidRPr="00BE00BB">
        <w:t>Now</w:t>
      </w:r>
      <w:proofErr w:type="spellEnd"/>
      <w:r w:rsidRPr="00BE00BB">
        <w:t xml:space="preserve">: muestra en formato numérico la fecha y la hora del sistema: 03/11/2016 01:50:16 y </w:t>
      </w:r>
      <w:proofErr w:type="spellStart"/>
      <w:r w:rsidRPr="00BE00BB">
        <w:t>Today</w:t>
      </w:r>
      <w:proofErr w:type="spellEnd"/>
      <w:r w:rsidRPr="00BE00BB">
        <w:t xml:space="preserve">: muestra en formato numérico la fecha del sistema: 03/11/2016. Se pueden manejar diferentes formatos de presentación de fecha y hora utilizando la función </w:t>
      </w:r>
      <w:proofErr w:type="spellStart"/>
      <w:r w:rsidRPr="00BE00BB">
        <w:t>Format</w:t>
      </w:r>
      <w:proofErr w:type="spellEnd"/>
      <w:r w:rsidRPr="00BE00BB">
        <w:t>.</w:t>
      </w:r>
    </w:p>
    <w:p w14:paraId="534934FB" w14:textId="302BB83A" w:rsidR="00BE00BB" w:rsidRDefault="00BE00BB" w:rsidP="00BE00BB">
      <w:r w:rsidRPr="00BE00BB">
        <w:lastRenderedPageBreak/>
        <w:drawing>
          <wp:inline distT="0" distB="0" distL="0" distR="0" wp14:anchorId="1847452A" wp14:editId="6F8C0438">
            <wp:extent cx="5448300" cy="6572250"/>
            <wp:effectExtent l="0" t="0" r="0" b="0"/>
            <wp:docPr id="1577772223" name="Picture 1" descr="A document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2223" name="Picture 1" descr="A document with text and imag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2BAF" w14:textId="575559BC" w:rsidR="00B643B7" w:rsidRDefault="00B643B7" w:rsidP="00BE00BB">
      <w:r w:rsidRPr="00B643B7">
        <w:lastRenderedPageBreak/>
        <w:drawing>
          <wp:inline distT="0" distB="0" distL="0" distR="0" wp14:anchorId="00606ED9" wp14:editId="0E891D61">
            <wp:extent cx="3600450" cy="1924050"/>
            <wp:effectExtent l="0" t="0" r="0" b="0"/>
            <wp:docPr id="9196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0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CEFB" w14:textId="77777777" w:rsidR="00B643B7" w:rsidRDefault="00B643B7" w:rsidP="00BE00BB"/>
    <w:p w14:paraId="6CA851B1" w14:textId="56F5E8D2" w:rsidR="0036558B" w:rsidRDefault="0036558B" w:rsidP="0036558B">
      <w:pPr>
        <w:pStyle w:val="Heading2"/>
      </w:pPr>
      <w:r w:rsidRPr="0036558B">
        <w:t>Funciones matemáticas</w:t>
      </w:r>
    </w:p>
    <w:p w14:paraId="48954D4E" w14:textId="2606C460" w:rsidR="00B643B7" w:rsidRDefault="0036558B" w:rsidP="00BE00BB">
      <w:r w:rsidRPr="0036558B">
        <w:t xml:space="preserve">La clase </w:t>
      </w:r>
      <w:proofErr w:type="spellStart"/>
      <w:r w:rsidRPr="0036558B">
        <w:t>Math</w:t>
      </w:r>
      <w:proofErr w:type="spellEnd"/>
      <w:r w:rsidRPr="0036558B">
        <w:t xml:space="preserve"> de VB.NET contiene una serie de funciones trigonométricas, logarítmicas y otras funciones matemáticas útiles para realizar cálculos aritméticos</w:t>
      </w:r>
    </w:p>
    <w:p w14:paraId="34BFD44D" w14:textId="0E9ED43F" w:rsidR="00BE00BB" w:rsidRDefault="0036558B" w:rsidP="00BE00BB">
      <w:r w:rsidRPr="0036558B">
        <w:lastRenderedPageBreak/>
        <w:drawing>
          <wp:inline distT="0" distB="0" distL="0" distR="0" wp14:anchorId="7E4126B6" wp14:editId="24770C4E">
            <wp:extent cx="5438775" cy="5800725"/>
            <wp:effectExtent l="0" t="0" r="9525" b="9525"/>
            <wp:docPr id="7646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0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CE7A" w14:textId="77777777" w:rsidR="00D25710" w:rsidRDefault="00D25710" w:rsidP="00BE00BB"/>
    <w:p w14:paraId="515D8E32" w14:textId="0D25004A" w:rsidR="00D25710" w:rsidRDefault="00D25710" w:rsidP="00D25710">
      <w:pPr>
        <w:pStyle w:val="Heading2"/>
      </w:pPr>
      <w:r w:rsidRPr="00D25710">
        <w:t xml:space="preserve">Funciones para cadenas. </w:t>
      </w:r>
    </w:p>
    <w:p w14:paraId="4D661B18" w14:textId="77777777" w:rsidR="00D25710" w:rsidRDefault="00D25710" w:rsidP="00BE00BB">
      <w:proofErr w:type="spellStart"/>
      <w:r w:rsidRPr="00D25710">
        <w:rPr>
          <w:b/>
          <w:bCs/>
        </w:rPr>
        <w:t>Chars</w:t>
      </w:r>
      <w:proofErr w:type="spellEnd"/>
      <w:r w:rsidRPr="00D25710">
        <w:rPr>
          <w:b/>
          <w:bCs/>
        </w:rPr>
        <w:t>(n):</w:t>
      </w:r>
      <w:r w:rsidRPr="00D25710">
        <w:t xml:space="preserve"> permite obtener un carácter específico de una cadena de caracteres.</w:t>
      </w:r>
    </w:p>
    <w:p w14:paraId="026FBF4F" w14:textId="612A4A8C" w:rsidR="00BE7183" w:rsidRDefault="00D25710" w:rsidP="00BE00BB">
      <w:proofErr w:type="spellStart"/>
      <w:r w:rsidRPr="00D25710">
        <w:rPr>
          <w:b/>
          <w:bCs/>
        </w:rPr>
        <w:t>Length</w:t>
      </w:r>
      <w:proofErr w:type="spellEnd"/>
      <w:r w:rsidRPr="00D25710">
        <w:rPr>
          <w:b/>
          <w:bCs/>
        </w:rPr>
        <w:t>:</w:t>
      </w:r>
      <w:r w:rsidRPr="00D25710">
        <w:t xml:space="preserve"> permite obtener la longitud de una cadena de caracteres.</w:t>
      </w:r>
    </w:p>
    <w:p w14:paraId="5CD9C0F1" w14:textId="77777777" w:rsidR="00D25710" w:rsidRDefault="00D25710" w:rsidP="00BE00BB">
      <w:proofErr w:type="spellStart"/>
      <w:proofErr w:type="gramStart"/>
      <w:r w:rsidRPr="00D25710">
        <w:rPr>
          <w:b/>
          <w:bCs/>
        </w:rPr>
        <w:t>Concat</w:t>
      </w:r>
      <w:proofErr w:type="spellEnd"/>
      <w:r w:rsidRPr="00D25710">
        <w:t>(</w:t>
      </w:r>
      <w:proofErr w:type="gramEnd"/>
      <w:r w:rsidRPr="00D25710">
        <w:t xml:space="preserve">texto1, texto2,…., </w:t>
      </w:r>
      <w:proofErr w:type="spellStart"/>
      <w:r w:rsidRPr="00D25710">
        <w:t>texton</w:t>
      </w:r>
      <w:proofErr w:type="spellEnd"/>
      <w:r w:rsidRPr="00D25710">
        <w:t xml:space="preserve">): permite unir dos o más cadenas de caracteres. </w:t>
      </w:r>
    </w:p>
    <w:p w14:paraId="2C3892A1" w14:textId="77777777" w:rsidR="00D25710" w:rsidRDefault="00D25710" w:rsidP="00BE00BB">
      <w:proofErr w:type="spellStart"/>
      <w:r w:rsidRPr="00D25710">
        <w:rPr>
          <w:b/>
          <w:bCs/>
        </w:rPr>
        <w:t>ToUpper</w:t>
      </w:r>
      <w:proofErr w:type="spellEnd"/>
      <w:r w:rsidRPr="00D25710">
        <w:rPr>
          <w:b/>
          <w:bCs/>
        </w:rPr>
        <w:t>:</w:t>
      </w:r>
      <w:r w:rsidRPr="00D25710">
        <w:t xml:space="preserve"> convierte una cadena de caracteres de minúscula a mayúscula. </w:t>
      </w:r>
    </w:p>
    <w:p w14:paraId="5B6C23A1" w14:textId="77777777" w:rsidR="00D25710" w:rsidRDefault="00D25710" w:rsidP="00BE00BB">
      <w:proofErr w:type="spellStart"/>
      <w:r w:rsidRPr="00D25710">
        <w:rPr>
          <w:b/>
          <w:bCs/>
        </w:rPr>
        <w:t>ToLower</w:t>
      </w:r>
      <w:proofErr w:type="spellEnd"/>
      <w:r w:rsidRPr="00D25710">
        <w:rPr>
          <w:b/>
          <w:bCs/>
        </w:rPr>
        <w:t>:</w:t>
      </w:r>
      <w:r w:rsidRPr="00D25710">
        <w:t xml:space="preserve"> convierte una cadena de caracteres de mayúsculas a minúsculas. </w:t>
      </w:r>
    </w:p>
    <w:p w14:paraId="33B56366" w14:textId="77777777" w:rsidR="00D25710" w:rsidRDefault="00D25710" w:rsidP="00BE00BB">
      <w:proofErr w:type="spellStart"/>
      <w:proofErr w:type="gramStart"/>
      <w:r w:rsidRPr="00D25710">
        <w:rPr>
          <w:b/>
          <w:bCs/>
        </w:rPr>
        <w:lastRenderedPageBreak/>
        <w:t>Remove</w:t>
      </w:r>
      <w:proofErr w:type="spellEnd"/>
      <w:r w:rsidRPr="00D25710">
        <w:t>(</w:t>
      </w:r>
      <w:proofErr w:type="gramEnd"/>
      <w:r w:rsidRPr="00D25710">
        <w:t xml:space="preserve">posición inicial, numero de caracteres): permite eliminar una cantidad determinada de caracteres en una posición específica de una cadena de caracteres. </w:t>
      </w:r>
    </w:p>
    <w:p w14:paraId="5AF348CB" w14:textId="77777777" w:rsidR="00D25710" w:rsidRDefault="00D25710" w:rsidP="00BE00BB">
      <w:proofErr w:type="spellStart"/>
      <w:proofErr w:type="gramStart"/>
      <w:r w:rsidRPr="00D25710">
        <w:rPr>
          <w:b/>
          <w:bCs/>
        </w:rPr>
        <w:t>Insert</w:t>
      </w:r>
      <w:proofErr w:type="spellEnd"/>
      <w:r w:rsidRPr="00D25710">
        <w:t>(</w:t>
      </w:r>
      <w:proofErr w:type="gramEnd"/>
      <w:r w:rsidRPr="00D25710">
        <w:t xml:space="preserve">posición de inserción, “cadena de caracteres”): permite insertar una cadena cantidad determinada de caracteres en una posición específica de una cadena de caracteres. </w:t>
      </w:r>
      <w:proofErr w:type="spellStart"/>
      <w:proofErr w:type="gramStart"/>
      <w:r w:rsidRPr="00D25710">
        <w:rPr>
          <w:b/>
          <w:bCs/>
        </w:rPr>
        <w:t>SubString</w:t>
      </w:r>
      <w:proofErr w:type="spellEnd"/>
      <w:r w:rsidRPr="00D25710">
        <w:t>(</w:t>
      </w:r>
      <w:proofErr w:type="gramEnd"/>
      <w:r w:rsidRPr="00D25710">
        <w:t xml:space="preserve">posición inicial, número de caracteres): permite obtener una </w:t>
      </w:r>
      <w:proofErr w:type="spellStart"/>
      <w:r w:rsidRPr="00D25710">
        <w:t>subcadena</w:t>
      </w:r>
      <w:proofErr w:type="spellEnd"/>
      <w:r w:rsidRPr="00D25710">
        <w:t xml:space="preserve"> de una cadena de caracteres. </w:t>
      </w:r>
    </w:p>
    <w:p w14:paraId="22BAEB60" w14:textId="77777777" w:rsidR="00D25710" w:rsidRDefault="00D25710" w:rsidP="00BE00BB">
      <w:proofErr w:type="spellStart"/>
      <w:proofErr w:type="gramStart"/>
      <w:r w:rsidRPr="00D25710">
        <w:rPr>
          <w:b/>
          <w:bCs/>
        </w:rPr>
        <w:t>Replace</w:t>
      </w:r>
      <w:proofErr w:type="spellEnd"/>
      <w:r w:rsidRPr="00D25710">
        <w:t>(</w:t>
      </w:r>
      <w:proofErr w:type="gramEnd"/>
      <w:r w:rsidRPr="00D25710">
        <w:t xml:space="preserve">cadena de caracteres): devuelve una cadena de caracteres invertida según el orden de los caracteres de la cadena especificada. </w:t>
      </w:r>
    </w:p>
    <w:p w14:paraId="443D2977" w14:textId="77777777" w:rsidR="008E1FCD" w:rsidRDefault="00D25710" w:rsidP="00BE00BB">
      <w:proofErr w:type="gramStart"/>
      <w:r w:rsidRPr="00D25710">
        <w:rPr>
          <w:b/>
          <w:bCs/>
        </w:rPr>
        <w:t>Len</w:t>
      </w:r>
      <w:r w:rsidRPr="00D25710">
        <w:t>(</w:t>
      </w:r>
      <w:proofErr w:type="gramEnd"/>
      <w:r w:rsidRPr="00D25710">
        <w:t xml:space="preserve">cadena de caracteres): devuelve un entero que contiene el número de caracteres de una cadena de caracteres. </w:t>
      </w:r>
    </w:p>
    <w:p w14:paraId="106B2D30" w14:textId="77777777" w:rsidR="00053BC5" w:rsidRDefault="00D25710" w:rsidP="00BE00BB">
      <w:proofErr w:type="spellStart"/>
      <w:r w:rsidRPr="008E1FCD">
        <w:rPr>
          <w:b/>
          <w:bCs/>
        </w:rPr>
        <w:t>ToCharArray</w:t>
      </w:r>
      <w:proofErr w:type="spellEnd"/>
      <w:r w:rsidRPr="008E1FCD">
        <w:rPr>
          <w:b/>
          <w:bCs/>
        </w:rPr>
        <w:t>:</w:t>
      </w:r>
      <w:r w:rsidRPr="00D25710">
        <w:t xml:space="preserve"> convierte una cadena de caracteres en un arregla de caracteres. </w:t>
      </w:r>
    </w:p>
    <w:p w14:paraId="005E409E" w14:textId="77777777" w:rsidR="00053BC5" w:rsidRDefault="00D25710" w:rsidP="00BE00BB">
      <w:proofErr w:type="gramStart"/>
      <w:r w:rsidRPr="00053BC5">
        <w:rPr>
          <w:b/>
          <w:bCs/>
        </w:rPr>
        <w:t>Split</w:t>
      </w:r>
      <w:r w:rsidRPr="00D25710">
        <w:t>(</w:t>
      </w:r>
      <w:proofErr w:type="gramEnd"/>
      <w:r w:rsidRPr="00D25710">
        <w:t xml:space="preserve">cadena de caracteres, delimitador): devuelve una arreglo unidimensional que contiene un número específico de </w:t>
      </w:r>
      <w:proofErr w:type="spellStart"/>
      <w:r w:rsidRPr="00D25710">
        <w:t>subcadenas</w:t>
      </w:r>
      <w:proofErr w:type="spellEnd"/>
      <w:r w:rsidRPr="00D25710">
        <w:t xml:space="preserve">. </w:t>
      </w:r>
    </w:p>
    <w:p w14:paraId="7E27748F" w14:textId="77777777" w:rsidR="00053BC5" w:rsidRDefault="00D25710" w:rsidP="00BE00BB">
      <w:proofErr w:type="spellStart"/>
      <w:r w:rsidRPr="00053BC5">
        <w:rPr>
          <w:b/>
          <w:bCs/>
        </w:rPr>
        <w:t>Trim</w:t>
      </w:r>
      <w:proofErr w:type="spellEnd"/>
      <w:r w:rsidRPr="00D25710">
        <w:t xml:space="preserve">(cadena): elimina los espacios de ambos lados de una cadena de caracteres. </w:t>
      </w:r>
      <w:proofErr w:type="spellStart"/>
      <w:r w:rsidRPr="00053BC5">
        <w:rPr>
          <w:b/>
          <w:bCs/>
        </w:rPr>
        <w:t>String.Copy</w:t>
      </w:r>
      <w:proofErr w:type="spellEnd"/>
      <w:r w:rsidRPr="00D25710">
        <w:t xml:space="preserve">(cadena): copia una cadena de caracteres. </w:t>
      </w:r>
    </w:p>
    <w:p w14:paraId="381B3C08" w14:textId="3AE1A944" w:rsidR="00D25710" w:rsidRDefault="00D25710" w:rsidP="00BE00BB">
      <w:proofErr w:type="spellStart"/>
      <w:proofErr w:type="gramStart"/>
      <w:r w:rsidRPr="00053BC5">
        <w:rPr>
          <w:b/>
          <w:bCs/>
        </w:rPr>
        <w:t>IndexOf</w:t>
      </w:r>
      <w:proofErr w:type="spellEnd"/>
      <w:r w:rsidRPr="00D25710">
        <w:t>(</w:t>
      </w:r>
      <w:proofErr w:type="gramEnd"/>
      <w:r w:rsidRPr="00D25710">
        <w:t>carácter a buscar): devuelve la posición de un carácter específico.</w:t>
      </w:r>
    </w:p>
    <w:sectPr w:rsidR="00D25710" w:rsidSect="00F2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BB"/>
    <w:rsid w:val="00053BC5"/>
    <w:rsid w:val="0036558B"/>
    <w:rsid w:val="008E1FCD"/>
    <w:rsid w:val="00993BA8"/>
    <w:rsid w:val="00B643B7"/>
    <w:rsid w:val="00BE00BB"/>
    <w:rsid w:val="00BE7183"/>
    <w:rsid w:val="00D25710"/>
    <w:rsid w:val="00F237A2"/>
    <w:rsid w:val="00F578E8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F78A"/>
  <w15:chartTrackingRefBased/>
  <w15:docId w15:val="{3684AE84-AC3E-423C-A1E1-86AA3BB6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598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Libni Pineda</dc:creator>
  <cp:keywords/>
  <dc:description/>
  <cp:lastModifiedBy>Libni Pineda</cp:lastModifiedBy>
  <cp:revision>7</cp:revision>
  <dcterms:created xsi:type="dcterms:W3CDTF">2024-11-06T04:54:00Z</dcterms:created>
  <dcterms:modified xsi:type="dcterms:W3CDTF">2024-11-06T05:03:00Z</dcterms:modified>
</cp:coreProperties>
</file>