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nqjgc926ec8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Modelado con casos de Uso y UML: Del Negocio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autor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8jxur48jvrpk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4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heading=h.w7x7kywx8952" w:id="2"/>
      <w:bookmarkEnd w:id="2"/>
      <w:r w:rsidDel="00000000" w:rsidR="00000000" w:rsidRPr="00000000">
        <w:rPr>
          <w:rtl w:val="0"/>
        </w:rPr>
        <w:t xml:space="preserve">1.1 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Paciencia Reflexiva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Modelar antes de codificar permite detectar inconsistencias tempranas, ahorrando horas de reprogramación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Clara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Usamos lenguaje natural en CUN/CUS para alinear la visión de stakeholders no técnicos con el 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Rigurosidad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Aplicamos estándares UML y plantillas estructuradas para garantizar trazabilidad y calidad en la especificación de requisitos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ind w:left="0" w:firstLine="0"/>
        <w:rPr/>
      </w:pPr>
      <w:bookmarkStart w:colFirst="0" w:colLast="0" w:name="_heading=h.dv8cc04ms9u1" w:id="3"/>
      <w:bookmarkEnd w:id="3"/>
      <w:r w:rsidDel="00000000" w:rsidR="00000000" w:rsidRPr="00000000">
        <w:rPr>
          <w:rtl w:val="0"/>
        </w:rPr>
        <w:t xml:space="preserve">1.2 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Modelar sistemas de software utilizando Casos de Uso del Negocio (CUN) y el Lenguaje de Modelado Unificado (UML), identificando actores, relaciones y niveles de abstracción, con el fin de especificar requisitos funcionales de manera clara, estructurada y documentada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Diferencia entre CUN y CUS, aplica correctamente las relaciones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«include»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«extend»</w:t>
            </w:r>
            <w:r w:rsidDel="00000000" w:rsidR="00000000" w:rsidRPr="00000000">
              <w:rPr>
                <w:rtl w:val="0"/>
              </w:rPr>
              <w:t xml:space="preserve">, y elabora diagramas de clases y de secuencia para representar la estructura y comportamiento dinámico del sistema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3"/>
        </w:numPr>
        <w:ind w:left="720" w:hanging="360"/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heading=h.z4vm7u2xnxoo" w:id="4"/>
      <w:bookmarkEnd w:id="4"/>
      <w:r w:rsidDel="00000000" w:rsidR="00000000" w:rsidRPr="00000000">
        <w:rPr>
          <w:rtl w:val="0"/>
        </w:rPr>
        <w:t xml:space="preserve">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CUN vs CUS</w:t>
      </w:r>
      <w:r w:rsidDel="00000000" w:rsidR="00000000" w:rsidRPr="00000000">
        <w:rPr>
          <w:rtl w:val="0"/>
        </w:rPr>
        <w:t xml:space="preserve">: Los Casos de Uso del Negocio describen procesos completos desde la perspectiva del rol organizacional; los del Sistema detallan funcionalidades específicas del software.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Rol (no persona específica) que interactúa con el sistema o proceso de negocio.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Core del Negocio</w:t>
      </w:r>
      <w:r w:rsidDel="00000000" w:rsidR="00000000" w:rsidRPr="00000000">
        <w:rPr>
          <w:rtl w:val="0"/>
        </w:rPr>
        <w:t xml:space="preserve">: Óvalo inicial que delimita el alcance total a modelar, validado con stakeholders.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Descomposición y Expansión</w:t>
      </w:r>
      <w:r w:rsidDel="00000000" w:rsidR="00000000" w:rsidRPr="00000000">
        <w:rPr>
          <w:rtl w:val="0"/>
        </w:rPr>
        <w:t xml:space="preserve">: Proceso de dividir el core en procesos de negocio y luego detallar flujos, variaciones y pasos exactos.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: Relación obligatoria donde un caso de uso reutiliza comportamiento repetitivo de otro.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: Relación opcional que añade comportamiento bajo condiciones específicas sin alterar el flujo base.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Diagrama de Clases</w:t>
      </w:r>
      <w:r w:rsidDel="00000000" w:rsidR="00000000" w:rsidRPr="00000000">
        <w:rPr>
          <w:rtl w:val="0"/>
        </w:rPr>
        <w:t xml:space="preserve">: Representa la estructura estática (entidades, atributos, relaciones).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Diagrama de Secuencia</w:t>
      </w:r>
      <w:r w:rsidDel="00000000" w:rsidR="00000000" w:rsidRPr="00000000">
        <w:rPr>
          <w:rtl w:val="0"/>
        </w:rPr>
        <w:t xml:space="preserve">: Modela la interacción temporal entre objetos para cumplir un caso de uso.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3"/>
        </w:numPr>
        <w:ind w:left="720" w:hanging="360"/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heading=h.9isg36y8em62" w:id="5"/>
      <w:bookmarkEnd w:id="5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modelado de sistemas es el puente entre las necesidades del negocio y la implementación técnica. Antes de escribir una sola línea de código, es fundamental capturar 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debe hacer el sistema mediante Casos de Uso y representar su estructura y comportamiento con UML. Esta lectura complementaria explora cómo transitar desde el Core del Negocio hasta la especificación técnica, utilizando relaciones estándar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) y diagramas clave (Clases y Secuencia) para reducir ambigüedades, prevenir errores costosos y entregar software alineado con la realidad operativa.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3gq612aeaugr" w:id="6"/>
      <w:bookmarkEnd w:id="6"/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3C">
      <w:pPr>
        <w:pStyle w:val="Heading3"/>
        <w:pBdr>
          <w:bottom w:color="2e75b6" w:space="1" w:sz="6" w:val="single"/>
        </w:pBdr>
        <w:spacing w:after="80" w:before="280" w:lineRule="auto"/>
        <w:ind w:left="0" w:firstLine="0"/>
        <w:rPr/>
      </w:pPr>
      <w:bookmarkStart w:colFirst="0" w:colLast="0" w:name="_heading=h.h8efsberk8xv" w:id="7"/>
      <w:bookmarkEnd w:id="7"/>
      <w:r w:rsidDel="00000000" w:rsidR="00000000" w:rsidRPr="00000000">
        <w:rPr>
          <w:color w:val="1c4587"/>
          <w:sz w:val="26"/>
          <w:szCs w:val="26"/>
          <w:rtl w:val="0"/>
        </w:rPr>
        <w:t xml:space="preserve">Del Proceso de Negocio a la Especificación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bottom w:color="2e75b6" w:space="1" w:sz="6" w:val="single"/>
        </w:pBdr>
        <w:spacing w:after="40" w:before="240" w:line="240" w:lineRule="auto"/>
        <w:rPr/>
      </w:pPr>
      <w:bookmarkStart w:colFirst="0" w:colLast="0" w:name="_heading=h.huarjmtspz78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u w:val="none"/>
          <w:rtl w:val="0"/>
        </w:rPr>
        <w:t xml:space="preserve">Diferenciación y Evolución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1 - Comparativa CUN vs CUS</w:t>
      </w:r>
    </w:p>
    <w:tbl>
      <w:tblPr>
        <w:tblStyle w:val="Table3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5"/>
        <w:gridCol w:w="3695"/>
        <w:gridCol w:w="3845"/>
        <w:tblGridChange w:id="0">
          <w:tblGrid>
            <w:gridCol w:w="1895"/>
            <w:gridCol w:w="3695"/>
            <w:gridCol w:w="3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Uso del Negocio (CUN)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Uso del Sistema (CUS)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Nivel de abstracción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Proceso de negocio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 específica del software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 organizacional (cliente, gerente, proveedor)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final, sistema externo, interfaz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Notación UML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Óvalo con línea diagonal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Óvalo simple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Entender el flujo de valor organizacional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Especificar cómo el software responde a estímulos</w:t>
            </w:r>
          </w:p>
        </w:tc>
      </w:tr>
    </w:tbl>
    <w:p w:rsidR="00000000" w:rsidDel="00000000" w:rsidP="00000000" w:rsidRDefault="00000000" w:rsidRPr="00000000" w14:paraId="0000004F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u w:val="none"/>
        </w:rPr>
      </w:pPr>
      <w:bookmarkStart w:colFirst="0" w:colLast="0" w:name="_heading=h.r4mlz4imc2n3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Subtema: Cuándo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none"/>
          <w:rtl w:val="0"/>
        </w:rPr>
        <w:t xml:space="preserve">«include»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none"/>
          <w:rtl w:val="0"/>
        </w:rPr>
        <w:t xml:space="preserve">«extend»</w:t>
      </w:r>
    </w:p>
    <w:tbl>
      <w:tblPr>
        <w:tblStyle w:val="Table4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85"/>
        <w:gridCol w:w="1605"/>
        <w:gridCol w:w="4815"/>
        <w:tblGridChange w:id="0">
          <w:tblGrid>
            <w:gridCol w:w="2985"/>
            <w:gridCol w:w="1605"/>
            <w:gridCol w:w="4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stock al procesar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«include»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Ocurre siempre, es parte obligatoria del flujo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Enviar notificación por correo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«extend»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se ejecuta si el usuario activa la opción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formato de archivo al subir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«include»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Condición técnica inherente, sin ella falla el caso base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Exportar reporte a 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«extend»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Comportamiento adicional opcional, el reporte ya es válido sin él</w:t>
            </w:r>
          </w:p>
        </w:tc>
      </w:tr>
    </w:tbl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f64jvq3p00q9" w:id="10"/>
      <w:bookmarkEnd w:id="10"/>
      <w:r w:rsidDel="00000000" w:rsidR="00000000" w:rsidRPr="00000000">
        <w:rPr>
          <w:rtl w:val="0"/>
        </w:rPr>
        <w:t xml:space="preserve">Caso de estudio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Sistema: Gestión de Reservas para Clínica Médica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La clínica necesita digitalizar la agenda de citas. El proceso inicia cuando el paciente solicita una cita, se verifica disponibilidad, se confirma y se envía recordatorio.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Aplicación del Modelado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Gestionar Citas Médicas</w:t>
      </w:r>
      <w:r w:rsidDel="00000000" w:rsidR="00000000" w:rsidRPr="00000000">
        <w:rPr>
          <w:rtl w:val="0"/>
        </w:rPr>
        <w:t xml:space="preserve"> (actores: Paciente, Recepcionista, Médico)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Descomposición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Solicitar Cita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Confirmar Disponibilidad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Enviar Recordatorio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Expansión y 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Solicitar Cita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 Disponibilidad de Horario</w:t>
      </w:r>
      <w:r w:rsidDel="00000000" w:rsidR="00000000" w:rsidRPr="00000000">
        <w:rPr>
          <w:rtl w:val="0"/>
        </w:rPr>
        <w:t xml:space="preserve"> (obligatorio)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Solicitar Cita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Aplicar Descuento por Fidelidad</w:t>
      </w:r>
      <w:r w:rsidDel="00000000" w:rsidR="00000000" w:rsidRPr="00000000">
        <w:rPr>
          <w:rtl w:val="0"/>
        </w:rPr>
        <w:t xml:space="preserve"> (solo si el paciente cumple condiciones)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Confirmar Cita</w:t>
      </w:r>
      <w:r w:rsidDel="00000000" w:rsidR="00000000" w:rsidRPr="00000000">
        <w:rPr>
          <w:rtl w:val="0"/>
        </w:rPr>
        <w:t xml:space="preserve"> generaliza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Confirmar Cita Presencial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Confirmar Cita Telemedicina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Plantilla Textual (Extracto)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Registrar y validar una cita médica en el sistema.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Secuencia Normal</w:t>
      </w:r>
      <w:sdt>
        <w:sdtPr>
          <w:id w:val="-10471096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1. Paciente selecciona especialidad → 2. Sistema muestra horarios → 3. Paciente elige → 4. Sistema valida → 5. Se genera confirmación.</w:t>
          </w:r>
        </w:sdtContent>
      </w:sdt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Excepción</w:t>
      </w:r>
      <w:r w:rsidDel="00000000" w:rsidR="00000000" w:rsidRPr="00000000">
        <w:rPr>
          <w:rtl w:val="0"/>
        </w:rPr>
        <w:t xml:space="preserve">: Paso 4: Si no hay disponibilidad, el sistema sugiere alternativas o lista de espera.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Médico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Horario</w:t>
      </w:r>
      <w:r w:rsidDel="00000000" w:rsidR="00000000" w:rsidRPr="00000000">
        <w:rPr>
          <w:rtl w:val="0"/>
        </w:rPr>
        <w:t xml:space="preserve"> (relaciones 1:N, 1:1)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Secuencia</w:t>
      </w:r>
      <w:sdt>
        <w:sdtPr>
          <w:id w:val="644914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Paciente → Interfaz → ControladorCita → BaseDatosHorarios → Confirmación</w:t>
          </w:r>
        </w:sdtContent>
      </w:sdt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: El modelado previo evitó que el equipo codificara lógica de descuentos en el flujo principal, separó responsabilidades técnicas y permitió que el área médica validara el flujo en lenguaje natural antes del desarrollo.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color w:val="1c4587"/>
          <w:sz w:val="36"/>
          <w:szCs w:val="36"/>
        </w:rPr>
      </w:pPr>
      <w:bookmarkStart w:colFirst="0" w:colLast="0" w:name="_heading=h.3lvlfq2rxjct" w:id="11"/>
      <w:bookmarkEnd w:id="11"/>
      <w:r w:rsidDel="00000000" w:rsidR="00000000" w:rsidRPr="00000000">
        <w:rPr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Modelar con Casos de Uso y UML no es una etapa burocrática, sino una inversión estratégica que reduce rework, alinea expectativas y estandariza la comunicación entre negocio y desarrollo. Dominar la diferencia entre CUN y CUS, aplicar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, y traducir flujos a diagramas de clases y secuencia permite construir sistemas más robustos, mantenibles y centrados en el valor real del usuario. La paciencia en el modelado se traduce en velocidad en la entrega.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3"/>
        </w:numPr>
        <w:ind w:left="720" w:hanging="360"/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heading=h.8viu26hl4gxp" w:id="12"/>
      <w:bookmarkEnd w:id="12"/>
      <w:r w:rsidDel="00000000" w:rsidR="00000000" w:rsidRPr="00000000">
        <w:rPr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Object Management Group (OMG).</w:t>
      </w:r>
      <w:r w:rsidDel="00000000" w:rsidR="00000000" w:rsidRPr="00000000">
        <w:rPr>
          <w:rtl w:val="0"/>
        </w:rPr>
        <w:t xml:space="preserve"> (2017). </w:t>
      </w:r>
      <w:r w:rsidDel="00000000" w:rsidR="00000000" w:rsidRPr="00000000">
        <w:rPr>
          <w:i w:val="1"/>
          <w:iCs w:val="1"/>
          <w:rtl w:val="0"/>
        </w:rPr>
        <w:t xml:space="preserve">Unified Modeling Language (UML) Version 2.5.1</w:t>
      </w:r>
      <w:r w:rsidDel="00000000" w:rsidR="00000000" w:rsidRPr="00000000">
        <w:rPr>
          <w:rtl w:val="0"/>
        </w:rPr>
        <w:t xml:space="preserve">. https://www.omg.org/spec/UML/2.5.1/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Fowler, M.</w:t>
      </w:r>
      <w:r w:rsidDel="00000000" w:rsidR="00000000" w:rsidRPr="00000000">
        <w:rPr>
          <w:rtl w:val="0"/>
        </w:rPr>
        <w:t xml:space="preserve"> (2004). </w:t>
      </w:r>
      <w:r w:rsidDel="00000000" w:rsidR="00000000" w:rsidRPr="00000000">
        <w:rPr>
          <w:i w:val="1"/>
          <w:iCs w:val="1"/>
          <w:rtl w:val="0"/>
        </w:rPr>
        <w:t xml:space="preserve">UML Distilled: A Brief Guide to the Standard Object Modeling Language</w:t>
      </w:r>
      <w:r w:rsidDel="00000000" w:rsidR="00000000" w:rsidRPr="00000000">
        <w:rPr>
          <w:rtl w:val="0"/>
        </w:rPr>
        <w:t xml:space="preserve"> (3rd ed.). Addison-Wesley.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Jacobson, I., Christerson, M., Jonsson, P., &amp; Övergaard, G.</w:t>
      </w:r>
      <w:r w:rsidDel="00000000" w:rsidR="00000000" w:rsidRPr="00000000">
        <w:rPr>
          <w:rtl w:val="0"/>
        </w:rPr>
        <w:t xml:space="preserve"> (1992). </w:t>
      </w:r>
      <w:r w:rsidDel="00000000" w:rsidR="00000000" w:rsidRPr="00000000">
        <w:rPr>
          <w:i w:val="1"/>
          <w:iCs w:val="1"/>
          <w:rtl w:val="0"/>
        </w:rPr>
        <w:t xml:space="preserve">Object-Oriented Software Engineering: A Use Case Driven Approach</w:t>
      </w:r>
      <w:r w:rsidDel="00000000" w:rsidR="00000000" w:rsidRPr="00000000">
        <w:rPr>
          <w:rtl w:val="0"/>
        </w:rPr>
        <w:t xml:space="preserve">. Addison-Wesley.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Larman, C.</w:t>
      </w:r>
      <w:r w:rsidDel="00000000" w:rsidR="00000000" w:rsidRPr="00000000">
        <w:rPr>
          <w:rtl w:val="0"/>
        </w:rPr>
        <w:t xml:space="preserve"> (2004). </w:t>
      </w:r>
      <w:r w:rsidDel="00000000" w:rsidR="00000000" w:rsidRPr="00000000">
        <w:rPr>
          <w:i w:val="1"/>
          <w:iCs w:val="1"/>
          <w:rtl w:val="0"/>
        </w:rPr>
        <w:t xml:space="preserve">Applying UML and Patterns: An Introduction to Object-Oriented Analysis and Design and Iterative Development</w:t>
      </w:r>
      <w:r w:rsidDel="00000000" w:rsidR="00000000" w:rsidRPr="00000000">
        <w:rPr>
          <w:rtl w:val="0"/>
        </w:rPr>
        <w:t xml:space="preserve"> (3rd ed.). Prentice Hall.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Cockburn, A.</w:t>
      </w:r>
      <w:r w:rsidDel="00000000" w:rsidR="00000000" w:rsidRPr="00000000">
        <w:rPr>
          <w:rtl w:val="0"/>
        </w:rPr>
        <w:t xml:space="preserve"> (2000). </w:t>
      </w:r>
      <w:r w:rsidDel="00000000" w:rsidR="00000000" w:rsidRPr="00000000">
        <w:rPr>
          <w:i w:val="1"/>
          <w:iCs w:val="1"/>
          <w:rtl w:val="0"/>
        </w:rPr>
        <w:t xml:space="preserve">Writing Effective Use Cases</w:t>
      </w:r>
      <w:r w:rsidDel="00000000" w:rsidR="00000000" w:rsidRPr="00000000">
        <w:rPr>
          <w:rtl w:val="0"/>
        </w:rPr>
        <w:t xml:space="preserve">. Addison-Wesley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Courier New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9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Style w:val="Title"/>
      <w:rPr>
        <w:sz w:val="16"/>
        <w:szCs w:val="16"/>
      </w:rPr>
    </w:pPr>
    <w:bookmarkStart w:colFirst="0" w:colLast="0" w:name="_heading=h.mpnmm56sxg4f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ghbstKtVcxu4AYVZZEsm+tK5TA==">CgMxLjAaHQoBMBIYChYIB0ISEhBBcmlhbCBVbmljb2RlIE1TGh0KATESGAoWCAdCEhIQQXJpYWwgVW5pY29kZSBNUzIOaC5ucWpnYzkyNmVjOHMyDmguOGp4dXI0OGp2cnBrMg5oLnc3eDdreXd4ODk1MjIOaC5kdjhjYzA0bXM5dTEyDmguejR2bTd1MnhueG9vMg5oLjlpc2czNnk4ZW02MjIOaC4zZ3E2MTJhZWF1Z3IyDmguaDhlZnNiZXJrOHh2Mg5oLmh1YXJqbXRzcHo3ODIOaC5yNG1sejRpbWMybjMyDmguZjY0anZxM3AwMHE5Mg5oLjNsdmxmcTJyeGpjdDIOaC44dml1MjZobDRneHAyDmgubXBubW01NnN4ZzRmOAByITFXMGpjdHNISmcxUVNzMUp4U1ZwUUJhdFhUT2JuVzJ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