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6BAD" w14:textId="07DC44CC" w:rsidR="007851F8" w:rsidRPr="00A17E84" w:rsidRDefault="00577089" w:rsidP="00E77A20">
      <w:pPr>
        <w:pStyle w:val="IEEETitle"/>
        <w:rPr>
          <w:sz w:val="40"/>
          <w:szCs w:val="40"/>
        </w:rPr>
      </w:pPr>
      <w:r>
        <w:rPr>
          <w:sz w:val="40"/>
          <w:szCs w:val="40"/>
        </w:rPr>
        <w:t>Wind</w:t>
      </w:r>
    </w:p>
    <w:p w14:paraId="52788518" w14:textId="111AE0EF" w:rsidR="007851F8" w:rsidRPr="00F325E3" w:rsidRDefault="00211ABA" w:rsidP="00F325E3">
      <w:pPr>
        <w:pStyle w:val="IEEEAuthorName"/>
        <w:spacing w:after="0"/>
        <w:rPr>
          <w:sz w:val="20"/>
          <w:szCs w:val="20"/>
          <w:vertAlign w:val="superscript"/>
        </w:rPr>
      </w:pPr>
      <w:r>
        <w:rPr>
          <w:sz w:val="20"/>
          <w:szCs w:val="20"/>
        </w:rPr>
        <w:t>Colton Dudley</w:t>
      </w:r>
    </w:p>
    <w:p w14:paraId="770053A6" w14:textId="77777777" w:rsidR="007851F8" w:rsidRDefault="007851F8"/>
    <w:p w14:paraId="6295EE08" w14:textId="77777777" w:rsidR="007851F8" w:rsidRDefault="007851F8">
      <w:pPr>
        <w:sectPr w:rsidR="007851F8" w:rsidSect="00DD34BE">
          <w:headerReference w:type="default" r:id="rId8"/>
          <w:headerReference w:type="first" r:id="rId9"/>
          <w:footnotePr>
            <w:pos w:val="beneathText"/>
          </w:footnotePr>
          <w:type w:val="continuous"/>
          <w:pgSz w:w="11907" w:h="16839" w:code="9"/>
          <w:pgMar w:top="1276" w:right="868" w:bottom="1871" w:left="868" w:header="426" w:footer="720" w:gutter="0"/>
          <w:cols w:space="720"/>
          <w:docGrid w:linePitch="360"/>
        </w:sectPr>
      </w:pPr>
    </w:p>
    <w:p w14:paraId="2CD983F2" w14:textId="284806C6" w:rsidR="007851F8" w:rsidRDefault="007851F8">
      <w:pPr>
        <w:pStyle w:val="IEEEAbtract"/>
      </w:pPr>
      <w:r>
        <w:rPr>
          <w:rStyle w:val="IEEEAbstractHeadingChar"/>
        </w:rPr>
        <w:t>Abstract</w:t>
      </w:r>
      <w:r>
        <w:t>—</w:t>
      </w:r>
    </w:p>
    <w:p w14:paraId="2FA7A8FE" w14:textId="453504A1" w:rsidR="007851F8" w:rsidRDefault="007851F8">
      <w:pPr>
        <w:pStyle w:val="IEEEHeading1"/>
      </w:pPr>
      <w:r>
        <w:t>Introduction</w:t>
      </w:r>
    </w:p>
    <w:p w14:paraId="1DFF5DD8" w14:textId="412A2D21" w:rsidR="00EA58ED" w:rsidRDefault="00EA58ED" w:rsidP="00EA58ED">
      <w:pPr>
        <w:pStyle w:val="IEEEParagraph"/>
        <w:numPr>
          <w:ilvl w:val="0"/>
          <w:numId w:val="14"/>
        </w:numPr>
      </w:pPr>
      <w:r>
        <w:t>What we are doing:</w:t>
      </w:r>
    </w:p>
    <w:p w14:paraId="0A123517" w14:textId="7975D7B2" w:rsidR="00EA58ED" w:rsidRDefault="00EA58ED" w:rsidP="00EA58ED">
      <w:pPr>
        <w:pStyle w:val="IEEEParagraph"/>
        <w:numPr>
          <w:ilvl w:val="1"/>
          <w:numId w:val="14"/>
        </w:numPr>
      </w:pPr>
      <w:r>
        <w:t>Surface roughness</w:t>
      </w:r>
    </w:p>
    <w:p w14:paraId="5A9F85D4" w14:textId="38E0C9AA" w:rsidR="00EA58ED" w:rsidRDefault="00EA58ED" w:rsidP="00EA58ED">
      <w:pPr>
        <w:pStyle w:val="IEEEParagraph"/>
        <w:numPr>
          <w:ilvl w:val="1"/>
          <w:numId w:val="14"/>
        </w:numPr>
      </w:pPr>
      <w:r>
        <w:t>Eddie size</w:t>
      </w:r>
    </w:p>
    <w:p w14:paraId="22A55E4B" w14:textId="0D675208" w:rsidR="00EA58ED" w:rsidRDefault="00EA58ED" w:rsidP="00EA58ED">
      <w:pPr>
        <w:pStyle w:val="IEEEParagraph"/>
        <w:numPr>
          <w:ilvl w:val="1"/>
          <w:numId w:val="14"/>
        </w:numPr>
      </w:pPr>
      <w:r>
        <w:t xml:space="preserve">Von </w:t>
      </w:r>
      <w:proofErr w:type="spellStart"/>
      <w:r>
        <w:t>karman</w:t>
      </w:r>
      <w:proofErr w:type="spellEnd"/>
      <w:r>
        <w:t xml:space="preserve"> constant</w:t>
      </w:r>
    </w:p>
    <w:p w14:paraId="126A5DBA" w14:textId="59A51E55" w:rsidR="00EA58ED" w:rsidRDefault="00EA58ED" w:rsidP="00EA58ED">
      <w:pPr>
        <w:pStyle w:val="IEEEParagraph"/>
        <w:numPr>
          <w:ilvl w:val="1"/>
          <w:numId w:val="14"/>
        </w:numPr>
        <w:rPr>
          <w:lang w:val="en-US"/>
        </w:rPr>
      </w:pPr>
      <w:r w:rsidRPr="00EA58ED">
        <w:rPr>
          <w:lang w:val="en-US"/>
        </w:rPr>
        <w:t>Molecular diffusivity vs turbulent diff</w:t>
      </w:r>
      <w:r>
        <w:rPr>
          <w:lang w:val="en-US"/>
        </w:rPr>
        <w:t>usivity</w:t>
      </w:r>
    </w:p>
    <w:p w14:paraId="2E89760D" w14:textId="4A9B64D5" w:rsidR="00EA58ED" w:rsidRDefault="00EA58ED" w:rsidP="00EA58ED">
      <w:pPr>
        <w:pStyle w:val="IEEEParagraph"/>
        <w:numPr>
          <w:ilvl w:val="0"/>
          <w:numId w:val="14"/>
        </w:numPr>
        <w:rPr>
          <w:lang w:val="en-US"/>
        </w:rPr>
      </w:pPr>
      <w:r>
        <w:rPr>
          <w:lang w:val="en-US"/>
        </w:rPr>
        <w:t>Why this is important</w:t>
      </w:r>
    </w:p>
    <w:p w14:paraId="467813AC" w14:textId="07321FB7" w:rsidR="00EA58ED" w:rsidRDefault="00EA58ED" w:rsidP="00EA58ED">
      <w:pPr>
        <w:pStyle w:val="IEEEParagraph"/>
        <w:numPr>
          <w:ilvl w:val="1"/>
          <w:numId w:val="14"/>
        </w:numPr>
        <w:rPr>
          <w:lang w:val="en-US"/>
        </w:rPr>
      </w:pPr>
      <w:r>
        <w:rPr>
          <w:lang w:val="en-US"/>
        </w:rPr>
        <w:t>Pollutants in atmosphere</w:t>
      </w:r>
    </w:p>
    <w:p w14:paraId="1CC9843A" w14:textId="3F8CE1CA" w:rsidR="00EA58ED" w:rsidRDefault="00EA58ED" w:rsidP="00EA58ED">
      <w:pPr>
        <w:pStyle w:val="IEEEParagraph"/>
        <w:numPr>
          <w:ilvl w:val="1"/>
          <w:numId w:val="14"/>
        </w:numPr>
        <w:rPr>
          <w:lang w:val="en-US"/>
        </w:rPr>
      </w:pPr>
      <w:r>
        <w:rPr>
          <w:lang w:val="en-US"/>
        </w:rPr>
        <w:t>Combustion</w:t>
      </w:r>
    </w:p>
    <w:p w14:paraId="525643FC" w14:textId="3B440EE8" w:rsidR="00EA58ED" w:rsidRPr="00EA58ED" w:rsidRDefault="00EA58ED" w:rsidP="00EA58ED">
      <w:pPr>
        <w:pStyle w:val="IEEEParagraph"/>
        <w:numPr>
          <w:ilvl w:val="1"/>
          <w:numId w:val="14"/>
        </w:numPr>
        <w:rPr>
          <w:lang w:val="en-US"/>
        </w:rPr>
      </w:pPr>
      <w:r>
        <w:rPr>
          <w:lang w:val="en-US"/>
        </w:rPr>
        <w:t>Containments</w:t>
      </w:r>
    </w:p>
    <w:p w14:paraId="4AF05B89" w14:textId="50FA9A2C" w:rsidR="007851F8" w:rsidRDefault="007A22DB">
      <w:pPr>
        <w:pStyle w:val="IEEEHeading1"/>
      </w:pPr>
      <w:r>
        <w:t>Theory</w:t>
      </w:r>
    </w:p>
    <w:p w14:paraId="3CDC9584" w14:textId="20D71F10" w:rsidR="00917233" w:rsidRDefault="00917233" w:rsidP="00917233">
      <w:pPr>
        <w:pStyle w:val="IEEEParagraph"/>
      </w:pPr>
      <w:r>
        <w:t>The gradient Richardson number (</w:t>
      </w:r>
      <w:r>
        <w:rPr>
          <w:i/>
          <w:iCs/>
        </w:rPr>
        <w:t>Ri</w:t>
      </w:r>
      <w:r>
        <w:t>) is given by:</w:t>
      </w:r>
    </w:p>
    <w:p w14:paraId="5B1518BF" w14:textId="56EA4409" w:rsidR="00917233" w:rsidRPr="007F065D" w:rsidRDefault="00410305" w:rsidP="00917233">
      <w:pPr>
        <w:pStyle w:val="IEEEParagraph"/>
      </w:pPr>
      <m:oMathPara>
        <m:oMath>
          <m:eqArr>
            <m:eqArrPr>
              <m:maxDist m:val="1"/>
              <m:ctrlPr>
                <w:rPr>
                  <w:rFonts w:ascii="Cambria Math" w:hAnsi="Cambria Math"/>
                  <w:i/>
                </w:rPr>
              </m:ctrlPr>
            </m:eqArrPr>
            <m:e>
              <m:r>
                <w:rPr>
                  <w:rFonts w:ascii="Cambria Math" w:hAnsi="Cambria Math"/>
                </w:rPr>
                <m:t>Ri=</m:t>
              </m:r>
              <m:f>
                <m:fPr>
                  <m:ctrlPr>
                    <w:rPr>
                      <w:rFonts w:ascii="Cambria Math" w:hAnsi="Cambria Math"/>
                      <w:i/>
                    </w:rPr>
                  </m:ctrlPr>
                </m:fPr>
                <m:num>
                  <m:r>
                    <w:rPr>
                      <w:rFonts w:ascii="Cambria Math" w:hAnsi="Cambria Math"/>
                    </w:rPr>
                    <m:t>g</m:t>
                  </m:r>
                </m:num>
                <m:den>
                  <m:r>
                    <w:rPr>
                      <w:rFonts w:ascii="Cambria Math" w:hAnsi="Cambria Math"/>
                    </w:rPr>
                    <m:t>T</m:t>
                  </m:r>
                </m:den>
              </m:f>
              <m:f>
                <m:fPr>
                  <m:ctrlPr>
                    <w:rPr>
                      <w:rFonts w:ascii="Cambria Math" w:hAnsi="Cambria Math"/>
                      <w:i/>
                    </w:rPr>
                  </m:ctrlPr>
                </m:fPr>
                <m:num>
                  <m:f>
                    <m:fPr>
                      <m:ctrlPr>
                        <w:rPr>
                          <w:rFonts w:ascii="Cambria Math" w:hAnsi="Cambria Math"/>
                          <w:i/>
                        </w:rPr>
                      </m:ctrlPr>
                    </m:fPr>
                    <m:num>
                      <m:r>
                        <w:rPr>
                          <w:rFonts w:ascii="Cambria Math" w:hAnsi="Cambria Math"/>
                        </w:rPr>
                        <m:t>dT</m:t>
                      </m:r>
                    </m:num>
                    <m:den>
                      <m:r>
                        <w:rPr>
                          <w:rFonts w:ascii="Cambria Math" w:hAnsi="Cambria Math"/>
                        </w:rPr>
                        <m:t>dz</m:t>
                      </m:r>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dz</m:t>
                              </m:r>
                            </m:den>
                          </m:f>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4D8B5B3E" w14:textId="378807A0" w:rsidR="007F065D" w:rsidRDefault="007F065D" w:rsidP="00917233">
      <w:pPr>
        <w:pStyle w:val="IEEEParagraph"/>
      </w:pPr>
      <w:r>
        <w:t>One important number is the eddy velocity of friction denoted by u*. There are several ways to calculate u*</w:t>
      </w:r>
      <w:r w:rsidR="00302C66">
        <w:t>[CITE]</w:t>
      </w:r>
      <w:r w:rsidR="00F73F1A">
        <w:t xml:space="preserve">. If it is assumed that </w:t>
      </w:r>
      <m:oMath>
        <m:r>
          <w:rPr>
            <w:rFonts w:ascii="Cambria Math" w:hAnsi="Cambria Math"/>
          </w:rPr>
          <m:t>u' = w' = u*</m:t>
        </m:r>
      </m:oMath>
      <w:r w:rsidR="00F73F1A">
        <w:t>, then u* can be found by:</w:t>
      </w:r>
    </w:p>
    <w:p w14:paraId="04ADF754" w14:textId="117A7470" w:rsidR="00F73F1A" w:rsidRPr="00F73F1A" w:rsidRDefault="00F73F1A" w:rsidP="00917233">
      <w:pPr>
        <w:pStyle w:val="IEEEParagraph"/>
      </w:pPr>
      <m:oMathPara>
        <m:oMath>
          <m:eqArr>
            <m:eqArrPr>
              <m:maxDist m:val="1"/>
              <m:ctrlPr>
                <w:rPr>
                  <w:rFonts w:ascii="Cambria Math" w:hAnsi="Cambria Math"/>
                  <w:i/>
                </w:rPr>
              </m:ctrlPr>
            </m:eqArrPr>
            <m:e>
              <m:r>
                <w:rPr>
                  <w:rFonts w:ascii="Cambria Math" w:hAnsi="Cambria Math"/>
                </w:rPr>
                <m:t>u*=</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sSup>
                        <m:sSupPr>
                          <m:ctrlPr>
                            <w:rPr>
                              <w:rFonts w:ascii="Cambria Math" w:hAnsi="Cambria Math"/>
                              <w:i/>
                            </w:rPr>
                          </m:ctrlPr>
                        </m:sSupPr>
                        <m:e>
                          <m: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2101E70D" w14:textId="77777777" w:rsidR="00F73F1A" w:rsidRPr="00F73F1A" w:rsidRDefault="00F73F1A" w:rsidP="00917233">
      <w:pPr>
        <w:pStyle w:val="IEEEParagraph"/>
      </w:pPr>
    </w:p>
    <w:p w14:paraId="0012B935" w14:textId="77777777" w:rsidR="00410305" w:rsidRPr="00410305" w:rsidRDefault="00410305" w:rsidP="00917233">
      <w:pPr>
        <w:pStyle w:val="IEEEParagraph"/>
      </w:pPr>
    </w:p>
    <w:p w14:paraId="35127C12" w14:textId="0B34B2F5" w:rsidR="00917233" w:rsidRDefault="00917233" w:rsidP="00917233">
      <w:pPr>
        <w:pStyle w:val="IEEEParagraph"/>
      </w:pPr>
      <w:r>
        <w:t>Shearing stress is:</w:t>
      </w:r>
    </w:p>
    <w:p w14:paraId="7FC20B43" w14:textId="770618B7" w:rsidR="00917233" w:rsidRPr="00410305" w:rsidRDefault="00410305" w:rsidP="00917233">
      <w:pPr>
        <w:pStyle w:val="IEEEParagraph"/>
      </w:pPr>
      <m:oMathPara>
        <m:oMathParaPr>
          <m:jc m:val="center"/>
        </m:oMathParaPr>
        <m:oMath>
          <m:eqArr>
            <m:eqArrPr>
              <m:maxDist m:val="1"/>
              <m:ctrlPr>
                <w:rPr>
                  <w:rFonts w:ascii="Cambria Math" w:hAnsi="Cambria Math"/>
                  <w:i/>
                </w:rPr>
              </m:ctrlPr>
            </m:eqArrPr>
            <m:e>
              <m:r>
                <w:rPr>
                  <w:rFonts w:ascii="Cambria Math" w:hAnsi="Cambria Math"/>
                </w:rPr>
                <m:t>η=pv</m:t>
              </m:r>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3FEF1686" w14:textId="77777777" w:rsidR="00410305" w:rsidRPr="00410305" w:rsidRDefault="00410305" w:rsidP="00917233">
      <w:pPr>
        <w:pStyle w:val="IEEEParagraph"/>
      </w:pPr>
    </w:p>
    <w:p w14:paraId="6C201765" w14:textId="327C2566" w:rsidR="00410305" w:rsidRDefault="00410305" w:rsidP="00917233">
      <w:pPr>
        <w:pStyle w:val="IEEEParagraph"/>
      </w:pPr>
      <w:r>
        <w:t>The wind profile equation can be written as:</w:t>
      </w:r>
    </w:p>
    <w:p w14:paraId="5FB386C8" w14:textId="01DF0ADA" w:rsidR="00410305" w:rsidRPr="00410305" w:rsidRDefault="00410305" w:rsidP="00917233">
      <w:pPr>
        <w:pStyle w:val="IEEEParagraph"/>
      </w:pPr>
      <m:oMathPara>
        <m:oMathParaPr>
          <m:jc m:val="center"/>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u</m:t>
                  </m:r>
                  <m:d>
                    <m:dPr>
                      <m:ctrlPr>
                        <w:rPr>
                          <w:rFonts w:ascii="Cambria Math" w:hAnsi="Cambria Math"/>
                          <w:i/>
                        </w:rPr>
                      </m:ctrlPr>
                    </m:dPr>
                    <m:e>
                      <m:r>
                        <w:rPr>
                          <w:rFonts w:ascii="Cambria Math" w:hAnsi="Cambria Math"/>
                        </w:rPr>
                        <m:t>z</m:t>
                      </m:r>
                    </m:e>
                  </m:d>
                </m:e>
              </m:acc>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k</m:t>
                  </m:r>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0</m:t>
                          </m:r>
                        </m:sub>
                      </m:sSub>
                    </m:den>
                  </m:f>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A771FA6" w14:textId="77777777" w:rsidR="00410305" w:rsidRPr="00410305" w:rsidRDefault="00410305" w:rsidP="00917233">
      <w:pPr>
        <w:pStyle w:val="IEEEParagraph"/>
      </w:pPr>
    </w:p>
    <w:p w14:paraId="053AE477" w14:textId="77777777" w:rsidR="00410305" w:rsidRPr="00410305" w:rsidRDefault="00410305" w:rsidP="00917233">
      <w:pPr>
        <w:pStyle w:val="IEEEParagraph"/>
      </w:pPr>
    </w:p>
    <w:p w14:paraId="6F6B5960" w14:textId="4D70761D" w:rsidR="00FF5548" w:rsidRDefault="007A22DB" w:rsidP="00FF5548">
      <w:pPr>
        <w:pStyle w:val="IEEEHeading1"/>
      </w:pPr>
      <w:r>
        <w:t>Experimental Method</w:t>
      </w:r>
    </w:p>
    <w:p w14:paraId="6E700415" w14:textId="190E62E5" w:rsidR="002927CB" w:rsidRPr="002927CB" w:rsidRDefault="002927CB" w:rsidP="002927CB">
      <w:pPr>
        <w:pStyle w:val="IEEEParagraph"/>
      </w:pPr>
      <w:r>
        <w:t>All measurements in this experiment were made using testo405i</w:t>
      </w:r>
      <w:r w:rsidR="00A90069">
        <w:t xml:space="preserve"> thermal</w:t>
      </w:r>
      <w:r>
        <w:t xml:space="preserve"> anemometers. </w:t>
      </w:r>
      <w:r w:rsidR="00A90069">
        <w:t xml:space="preserve">These work by heating an element to a constant temperature (a ‘hot wire’) and measuring the change in temperature </w:t>
      </w:r>
      <w:r w:rsidR="009978FD">
        <w:t xml:space="preserve">as the wind flows across </w:t>
      </w:r>
      <w:proofErr w:type="gramStart"/>
      <w:r w:rsidR="009978FD">
        <w:t>it.</w:t>
      </w:r>
      <w:r w:rsidR="00921949">
        <w:t>[</w:t>
      </w:r>
      <w:proofErr w:type="gramEnd"/>
      <w:r w:rsidR="00921949">
        <w:t xml:space="preserve">CITE] </w:t>
      </w:r>
      <w:r w:rsidR="00A90069">
        <w:t xml:space="preserve">These were stated to have an accuracy of 0.1m/s </w:t>
      </w:r>
      <w:r w:rsidR="009978FD">
        <w:t>[CITE]</w:t>
      </w:r>
    </w:p>
    <w:p w14:paraId="077518D3" w14:textId="6B52B0F8" w:rsidR="00EA1309" w:rsidRDefault="00EA1309" w:rsidP="00EA1309">
      <w:pPr>
        <w:pStyle w:val="IEEEHeading2"/>
        <w:numPr>
          <w:ilvl w:val="0"/>
          <w:numId w:val="8"/>
        </w:numPr>
      </w:pPr>
      <w:r>
        <w:t>Calibration</w:t>
      </w:r>
    </w:p>
    <w:p w14:paraId="207C4915" w14:textId="5D96DB6E" w:rsidR="00FF5548" w:rsidRDefault="00FF5548" w:rsidP="00263E57">
      <w:pPr>
        <w:pStyle w:val="IEEEParagraph"/>
        <w:ind w:firstLine="288"/>
      </w:pPr>
      <w:r>
        <w:t>The sensors were calibrated by holding them all in a line and walking across the lab room (about 5 meters) at a uniform pace for 30 seconds</w:t>
      </w:r>
      <w:r w:rsidR="00BA003F">
        <w:t xml:space="preserve">. The detectors were held over our head in order to minimize interference from our bodies as we walked. A coefficient was then obtained for each detector so that it’s average would equate to the average windspeed of all the detectors. </w:t>
      </w:r>
    </w:p>
    <w:p w14:paraId="7F6CECD0" w14:textId="29B7F981" w:rsidR="0065578C" w:rsidRPr="00FF5548" w:rsidRDefault="0065578C" w:rsidP="00263E57">
      <w:pPr>
        <w:pStyle w:val="IEEEParagraph"/>
        <w:ind w:firstLine="288"/>
      </w:pPr>
      <w:r>
        <w:t>The experimental setup varied from day to day to day.</w:t>
      </w:r>
      <w:r w:rsidR="0038181C">
        <w:t xml:space="preserve"> The basic setup used 6 sensors arranged from a height of 0.45m </w:t>
      </w:r>
      <w:r w:rsidR="00EA1309">
        <w:t>off</w:t>
      </w:r>
      <w:r w:rsidR="0038181C">
        <w:t xml:space="preserve"> the ground to 2.25m. Data was collected in several locations; an open field, a snowy field, a pavement, the 8</w:t>
      </w:r>
      <w:r w:rsidR="0038181C" w:rsidRPr="0038181C">
        <w:rPr>
          <w:vertAlign w:val="superscript"/>
        </w:rPr>
        <w:t>th</w:t>
      </w:r>
      <w:r w:rsidR="0038181C">
        <w:t xml:space="preserve"> floor balcony and an </w:t>
      </w:r>
      <w:r w:rsidR="00EA1309">
        <w:t>ice-covered</w:t>
      </w:r>
      <w:r w:rsidR="0038181C">
        <w:t xml:space="preserve"> lake.</w:t>
      </w:r>
      <w:r w:rsidR="00EA1309">
        <w:t xml:space="preserve"> Surface roughness is </w:t>
      </w:r>
      <w:r w:rsidR="00D02021">
        <w:t>affected</w:t>
      </w:r>
      <w:r w:rsidR="00EA1309">
        <w:t xml:space="preserve"> by surfaces </w:t>
      </w:r>
      <m:oMath>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×40</m:t>
        </m:r>
      </m:oMath>
      <w:r w:rsidR="00EA1309">
        <w:t xml:space="preserve"> downwind where </w:t>
      </w:r>
      <m:oMath>
        <m:sSub>
          <m:sSubPr>
            <m:ctrlPr>
              <w:rPr>
                <w:rFonts w:ascii="Cambria Math" w:hAnsi="Cambria Math"/>
                <w:i/>
              </w:rPr>
            </m:ctrlPr>
          </m:sSubPr>
          <m:e>
            <m:r>
              <w:rPr>
                <w:rFonts w:ascii="Cambria Math" w:hAnsi="Cambria Math"/>
              </w:rPr>
              <m:t>Z</m:t>
            </m:r>
          </m:e>
          <m:sub>
            <m:r>
              <w:rPr>
                <w:rFonts w:ascii="Cambria Math" w:hAnsi="Cambria Math"/>
              </w:rPr>
              <m:t>max</m:t>
            </m:r>
          </m:sub>
        </m:sSub>
      </m:oMath>
      <w:r w:rsidR="00EA1309">
        <w:t xml:space="preserve"> is the max height of the detector setup. [CITE] An effort was made to place the detectors at least 80m downwind from any obstructions (trees, shrubs, or walls) in order to avoid this effect.</w:t>
      </w:r>
    </w:p>
    <w:p w14:paraId="5F9744A8" w14:textId="32FFE0EA" w:rsidR="00EA1309" w:rsidRDefault="007A22DB" w:rsidP="00EA1309">
      <w:pPr>
        <w:pStyle w:val="IEEEHeading1"/>
      </w:pPr>
      <w:r>
        <w:t>Results</w:t>
      </w:r>
    </w:p>
    <w:p w14:paraId="1D642FBA" w14:textId="765468BD" w:rsidR="007858F0" w:rsidRPr="007858F0" w:rsidRDefault="007858F0" w:rsidP="007858F0">
      <w:pPr>
        <w:pStyle w:val="IEEEParagraph"/>
      </w:pPr>
      <w:r>
        <w:t xml:space="preserve">First the gradient Richardson number was calculated in order to determine that stability conditions hold.  Ideally a Richardson number of </w:t>
      </w:r>
      <w:r>
        <w:rPr>
          <w:i/>
          <w:iCs/>
        </w:rPr>
        <w:t>Ri</w:t>
      </w:r>
      <w:r>
        <w:t>&lt;|0.1| would be expected however a Ri from 0.1 to 10 may still hint that MORE HERE [CITE]</w:t>
      </w:r>
    </w:p>
    <w:p w14:paraId="62E30D8A" w14:textId="4B323CA8" w:rsidR="00EA1309" w:rsidRDefault="00EA1309" w:rsidP="00EA1309">
      <w:pPr>
        <w:pStyle w:val="IEEEHeading2"/>
        <w:numPr>
          <w:ilvl w:val="0"/>
          <w:numId w:val="13"/>
        </w:numPr>
      </w:pPr>
      <w:r>
        <w:t>Surface Roughness</w:t>
      </w:r>
    </w:p>
    <w:p w14:paraId="4F53DA03" w14:textId="40F82C68" w:rsidR="00A70C93" w:rsidRDefault="00EA1309" w:rsidP="00EA1309">
      <w:pPr>
        <w:pStyle w:val="IEEEParagraph"/>
        <w:ind w:firstLine="0"/>
      </w:pPr>
      <w:r>
        <w:t xml:space="preserve">The surface roughness can simply be calculated by </w:t>
      </w:r>
      <w:r w:rsidR="00A70C93">
        <w:t>plotting average wind speed against height on a log scale. An example of this for snow can be seen in FIGX</w:t>
      </w:r>
    </w:p>
    <w:p w14:paraId="0BCC6960" w14:textId="7F2A06FE" w:rsidR="00A70C93" w:rsidRPr="00EA1309" w:rsidRDefault="00A70C93" w:rsidP="00EA1309">
      <w:pPr>
        <w:pStyle w:val="IEEEParagraph"/>
        <w:ind w:firstLine="0"/>
      </w:pPr>
      <w:r>
        <w:rPr>
          <w:noProof/>
        </w:rPr>
        <w:drawing>
          <wp:inline distT="0" distB="0" distL="0" distR="0" wp14:anchorId="0A5B27A0" wp14:editId="4F462CA5">
            <wp:extent cx="3327311" cy="236153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35071" cy="2367045"/>
                    </a:xfrm>
                    <a:prstGeom prst="rect">
                      <a:avLst/>
                    </a:prstGeom>
                  </pic:spPr>
                </pic:pic>
              </a:graphicData>
            </a:graphic>
          </wp:inline>
        </w:drawing>
      </w:r>
    </w:p>
    <w:p w14:paraId="748D5EB3" w14:textId="0D569E43" w:rsidR="00EA58ED" w:rsidRDefault="00EA58ED" w:rsidP="00EA58ED">
      <w:pPr>
        <w:pStyle w:val="IEEEHeading2"/>
        <w:numPr>
          <w:ilvl w:val="0"/>
          <w:numId w:val="13"/>
        </w:numPr>
      </w:pPr>
      <w:r>
        <w:t>Turbulence</w:t>
      </w:r>
    </w:p>
    <w:p w14:paraId="0619215A" w14:textId="05FF621C" w:rsidR="00EA58ED" w:rsidRDefault="00EA58ED" w:rsidP="00EA58ED">
      <w:pPr>
        <w:pStyle w:val="IEEEParagraph"/>
        <w:ind w:firstLine="288"/>
      </w:pPr>
      <w:r>
        <w:t>The outer scale of the turbulence can be found by looking at the autocorrelation of windspeed. The autocorrelation should first reach 0 at a lag time that is the outer scale of the turbulence. This can be seen in FIGX</w:t>
      </w:r>
    </w:p>
    <w:p w14:paraId="316378D5" w14:textId="17FD0096" w:rsidR="00EA58ED" w:rsidRDefault="00EA58ED" w:rsidP="00EA58ED">
      <w:pPr>
        <w:pStyle w:val="IEEEParagraph"/>
        <w:ind w:firstLine="0"/>
      </w:pPr>
      <w:r>
        <w:rPr>
          <w:noProof/>
        </w:rPr>
        <w:lastRenderedPageBreak/>
        <w:drawing>
          <wp:inline distT="0" distB="0" distL="0" distR="0" wp14:anchorId="0B32728A" wp14:editId="1F263647">
            <wp:extent cx="3335832" cy="221841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4084" cy="2230551"/>
                    </a:xfrm>
                    <a:prstGeom prst="rect">
                      <a:avLst/>
                    </a:prstGeom>
                  </pic:spPr>
                </pic:pic>
              </a:graphicData>
            </a:graphic>
          </wp:inline>
        </w:drawing>
      </w:r>
    </w:p>
    <w:p w14:paraId="600C3635" w14:textId="290A74B8" w:rsidR="00EA58ED" w:rsidRDefault="00EA58ED" w:rsidP="00EA58ED">
      <w:pPr>
        <w:pStyle w:val="IEEEParagraph"/>
        <w:ind w:firstLine="0"/>
      </w:pPr>
      <w:r>
        <w:t>However due to noise there is a large fluctuation from the expected autocorrelation. This can be accounted for by taking an integral of the plot. This finds a lag time of roughly DATA HERE.</w:t>
      </w:r>
      <w:r w:rsidR="00812E27">
        <w:t xml:space="preserve"> Another method of determining eddy size is by taking a Fourier transform of the wind speed as a function of time. [CITE] The result of this can be seen in FIGX</w:t>
      </w:r>
    </w:p>
    <w:p w14:paraId="1137B1F9" w14:textId="243DE6CF" w:rsidR="00812E27" w:rsidRDefault="00812E27" w:rsidP="00812E27">
      <w:pPr>
        <w:pStyle w:val="IEEEParagraph"/>
        <w:ind w:firstLine="0"/>
      </w:pPr>
      <w:r>
        <w:rPr>
          <w:noProof/>
        </w:rPr>
        <w:drawing>
          <wp:inline distT="0" distB="0" distL="0" distR="0" wp14:anchorId="07F46D06" wp14:editId="08AF03DE">
            <wp:extent cx="3095625" cy="2080260"/>
            <wp:effectExtent l="0" t="0" r="0" b="0"/>
            <wp:docPr id="3" name="Picture 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histogram&#10;&#10;Description automatically generated"/>
                    <pic:cNvPicPr/>
                  </pic:nvPicPr>
                  <pic:blipFill>
                    <a:blip r:embed="rId12"/>
                    <a:stretch>
                      <a:fillRect/>
                    </a:stretch>
                  </pic:blipFill>
                  <pic:spPr>
                    <a:xfrm>
                      <a:off x="0" y="0"/>
                      <a:ext cx="3095625" cy="2080260"/>
                    </a:xfrm>
                    <a:prstGeom prst="rect">
                      <a:avLst/>
                    </a:prstGeom>
                  </pic:spPr>
                </pic:pic>
              </a:graphicData>
            </a:graphic>
          </wp:inline>
        </w:drawing>
      </w:r>
    </w:p>
    <w:p w14:paraId="75CC5FD9" w14:textId="3C860111" w:rsidR="00812E27" w:rsidRDefault="00812E27" w:rsidP="00812E27">
      <w:pPr>
        <w:pStyle w:val="IEEEParagraph"/>
        <w:ind w:firstLine="0"/>
      </w:pPr>
    </w:p>
    <w:p w14:paraId="7BE3BF1D" w14:textId="10B1E1BD" w:rsidR="00812E27" w:rsidRDefault="00812E27" w:rsidP="00812E27">
      <w:pPr>
        <w:pStyle w:val="IEEEHeading2"/>
        <w:numPr>
          <w:ilvl w:val="0"/>
          <w:numId w:val="13"/>
        </w:numPr>
      </w:pPr>
      <w:r>
        <w:t>Verifying the Von Karmen constant</w:t>
      </w:r>
    </w:p>
    <w:p w14:paraId="132DD0ED" w14:textId="46096679" w:rsidR="00812E27" w:rsidRDefault="00812E27" w:rsidP="00812E27">
      <w:pPr>
        <w:pStyle w:val="IEEEParagraph"/>
      </w:pPr>
      <w:r>
        <w:t xml:space="preserve">The Von Karmen constant can be verified by </w:t>
      </w:r>
      <w:proofErr w:type="spellStart"/>
      <w:r>
        <w:t>by</w:t>
      </w:r>
      <w:proofErr w:type="spellEnd"/>
      <w:r>
        <w:t xml:space="preserve"> comparing the characteristic friction/eddy velocity to the wind profile. </w:t>
      </w:r>
      <w:r w:rsidR="00D55230">
        <w:t xml:space="preserve">Using the assumptions made in [EQUATION] u* was calculated to be 0.09 – 0.12. The gradient of the wind profile was then used to determine Von Karmen constant, giving a result </w:t>
      </w:r>
      <w:proofErr w:type="gramStart"/>
      <w:r w:rsidR="00D55230">
        <w:t>of  0.1</w:t>
      </w:r>
      <w:proofErr w:type="gramEnd"/>
      <w:r w:rsidR="00D55230">
        <w:t>-0.37. This is within experimental error of the accepted value of 0.41[CITE]</w:t>
      </w:r>
    </w:p>
    <w:p w14:paraId="17F2C0A3" w14:textId="64EECBD6" w:rsidR="00D02021" w:rsidRPr="00812E27" w:rsidRDefault="00D02021" w:rsidP="00D02021">
      <w:pPr>
        <w:pStyle w:val="IEEEHeading2"/>
        <w:numPr>
          <w:ilvl w:val="0"/>
          <w:numId w:val="13"/>
        </w:numPr>
      </w:pPr>
      <w:r>
        <w:t xml:space="preserve">Comparing Molecular to Turbulent diffusivity. </w:t>
      </w:r>
    </w:p>
    <w:p w14:paraId="0974C6C3" w14:textId="77777777" w:rsidR="00EA58ED" w:rsidRPr="00EA58ED" w:rsidRDefault="00EA58ED" w:rsidP="00EA58ED">
      <w:pPr>
        <w:pStyle w:val="IEEEParagraph"/>
        <w:ind w:left="288" w:firstLine="0"/>
      </w:pPr>
    </w:p>
    <w:p w14:paraId="315902B3" w14:textId="77777777" w:rsidR="00EA1309" w:rsidRPr="00EA1309" w:rsidRDefault="00EA1309" w:rsidP="00EA1309">
      <w:pPr>
        <w:pStyle w:val="IEEEParagraph"/>
      </w:pPr>
    </w:p>
    <w:p w14:paraId="1542211B" w14:textId="78877A4C" w:rsidR="00D02021" w:rsidRDefault="007A22DB" w:rsidP="00D02021">
      <w:pPr>
        <w:pStyle w:val="IEEEHeading1"/>
      </w:pPr>
      <w:r>
        <w:t>Discussion</w:t>
      </w:r>
    </w:p>
    <w:p w14:paraId="006BB97D" w14:textId="77777777" w:rsidR="00D02021" w:rsidRPr="00D02021" w:rsidRDefault="00D02021" w:rsidP="00D02021">
      <w:pPr>
        <w:pStyle w:val="IEEEParagraph"/>
      </w:pPr>
    </w:p>
    <w:p w14:paraId="217785B8" w14:textId="1F9E0D15" w:rsidR="007851F8" w:rsidRDefault="007851F8">
      <w:pPr>
        <w:pStyle w:val="IEEEHeading1"/>
      </w:pPr>
      <w:r>
        <w:t>Conclusions</w:t>
      </w:r>
    </w:p>
    <w:p w14:paraId="409D9CBC" w14:textId="57F4A9AE" w:rsidR="007851F8" w:rsidRDefault="007851F8">
      <w:pPr>
        <w:pStyle w:val="IEEEHeading1"/>
        <w:numPr>
          <w:ilvl w:val="0"/>
          <w:numId w:val="0"/>
        </w:numPr>
      </w:pPr>
      <w:r>
        <w:t>References</w:t>
      </w:r>
    </w:p>
    <w:p w14:paraId="434EB92F" w14:textId="3705885D" w:rsidR="00921949" w:rsidRDefault="00921949" w:rsidP="00921949">
      <w:pPr>
        <w:rPr>
          <w:sz w:val="20"/>
          <w:lang w:val="en-US"/>
        </w:rPr>
      </w:pPr>
      <w:r w:rsidRPr="00921949">
        <w:rPr>
          <w:sz w:val="20"/>
          <w:lang w:val="en-US"/>
        </w:rPr>
        <w:t>[1]</w:t>
      </w:r>
      <w:r>
        <w:rPr>
          <w:sz w:val="20"/>
          <w:lang w:val="en-US"/>
        </w:rPr>
        <w:t xml:space="preserve"> </w:t>
      </w:r>
      <w:r w:rsidRPr="00921949">
        <w:rPr>
          <w:sz w:val="20"/>
          <w:lang w:val="en-US"/>
        </w:rPr>
        <w:t>“</w:t>
      </w:r>
      <w:proofErr w:type="spellStart"/>
      <w:r w:rsidRPr="00921949">
        <w:rPr>
          <w:sz w:val="20"/>
          <w:lang w:val="en-US"/>
        </w:rPr>
        <w:t>eFunda</w:t>
      </w:r>
      <w:proofErr w:type="spellEnd"/>
      <w:r w:rsidRPr="00921949">
        <w:rPr>
          <w:sz w:val="20"/>
          <w:lang w:val="en-US"/>
        </w:rPr>
        <w:t>: Theory of Hot-Wire Anemometers,” Efunda.com, 2019. https://www.efunda.com/</w:t>
      </w:r>
      <w:r>
        <w:rPr>
          <w:sz w:val="20"/>
          <w:lang w:val="en-US"/>
        </w:rPr>
        <w:t xml:space="preserve"> </w:t>
      </w:r>
      <w:proofErr w:type="spellStart"/>
      <w:r w:rsidRPr="00921949">
        <w:rPr>
          <w:sz w:val="20"/>
          <w:lang w:val="en-US"/>
        </w:rPr>
        <w:t>designstandards</w:t>
      </w:r>
      <w:proofErr w:type="spellEnd"/>
      <w:r w:rsidRPr="00921949">
        <w:rPr>
          <w:sz w:val="20"/>
          <w:lang w:val="en-US"/>
        </w:rPr>
        <w:t>/sensors/</w:t>
      </w:r>
      <w:proofErr w:type="spellStart"/>
      <w:r w:rsidRPr="00921949">
        <w:rPr>
          <w:sz w:val="20"/>
          <w:lang w:val="en-US"/>
        </w:rPr>
        <w:t>hot_wires</w:t>
      </w:r>
      <w:proofErr w:type="spellEnd"/>
      <w:r w:rsidRPr="00921949">
        <w:rPr>
          <w:sz w:val="20"/>
          <w:lang w:val="en-US"/>
        </w:rPr>
        <w:t>/</w:t>
      </w:r>
      <w:proofErr w:type="spellStart"/>
      <w:r w:rsidRPr="00921949">
        <w:rPr>
          <w:sz w:val="20"/>
          <w:lang w:val="en-US"/>
        </w:rPr>
        <w:t>hot_wires_theory.cfm</w:t>
      </w:r>
      <w:proofErr w:type="spellEnd"/>
    </w:p>
    <w:p w14:paraId="6A4D2ABB" w14:textId="7C09B723" w:rsidR="00921949" w:rsidRDefault="00921949" w:rsidP="00921949">
      <w:pPr>
        <w:rPr>
          <w:sz w:val="20"/>
          <w:lang w:val="en-US"/>
        </w:rPr>
      </w:pPr>
      <w:r w:rsidRPr="00921949">
        <w:rPr>
          <w:sz w:val="20"/>
          <w:lang w:val="en-US"/>
        </w:rPr>
        <w:t>[2]</w:t>
      </w:r>
      <w:r>
        <w:rPr>
          <w:sz w:val="20"/>
          <w:lang w:val="en-US"/>
        </w:rPr>
        <w:t xml:space="preserve"> </w:t>
      </w:r>
      <w:r w:rsidRPr="00921949">
        <w:rPr>
          <w:sz w:val="20"/>
          <w:lang w:val="en-US"/>
        </w:rPr>
        <w:t xml:space="preserve">J. </w:t>
      </w:r>
      <w:proofErr w:type="spellStart"/>
      <w:r w:rsidRPr="00921949">
        <w:rPr>
          <w:sz w:val="20"/>
          <w:lang w:val="en-US"/>
        </w:rPr>
        <w:t>Liljencrants</w:t>
      </w:r>
      <w:proofErr w:type="spellEnd"/>
      <w:r w:rsidRPr="00921949">
        <w:rPr>
          <w:sz w:val="20"/>
          <w:lang w:val="en-US"/>
        </w:rPr>
        <w:t>, “Thermal Anemometers,” www.fonema.se, Jan. 28, 2006. http://www.fonema.se/</w:t>
      </w:r>
      <w:r>
        <w:rPr>
          <w:sz w:val="20"/>
          <w:lang w:val="en-US"/>
        </w:rPr>
        <w:t xml:space="preserve"> </w:t>
      </w:r>
      <w:proofErr w:type="spellStart"/>
      <w:r w:rsidRPr="00921949">
        <w:rPr>
          <w:sz w:val="20"/>
          <w:lang w:val="en-US"/>
        </w:rPr>
        <w:t>anemom</w:t>
      </w:r>
      <w:proofErr w:type="spellEnd"/>
      <w:r w:rsidRPr="00921949">
        <w:rPr>
          <w:sz w:val="20"/>
          <w:lang w:val="en-US"/>
        </w:rPr>
        <w:t>/anemom.html (accessed Jan. 04, 2023).</w:t>
      </w:r>
    </w:p>
    <w:p w14:paraId="1BC3C16A" w14:textId="4C17A59E" w:rsidR="00921949" w:rsidRDefault="00921949" w:rsidP="00921949">
      <w:pPr>
        <w:rPr>
          <w:sz w:val="20"/>
          <w:lang w:val="en-US"/>
        </w:rPr>
      </w:pPr>
      <w:r>
        <w:rPr>
          <w:sz w:val="20"/>
          <w:lang w:val="en-US"/>
        </w:rPr>
        <w:t>[3] Testo</w:t>
      </w:r>
      <w:r w:rsidRPr="00921949">
        <w:rPr>
          <w:sz w:val="20"/>
          <w:lang w:val="en-US"/>
        </w:rPr>
        <w:t>, “Thermal anemometer</w:t>
      </w:r>
      <w:r>
        <w:rPr>
          <w:sz w:val="20"/>
          <w:lang w:val="en-US"/>
        </w:rPr>
        <w:t xml:space="preserve"> </w:t>
      </w:r>
      <w:r w:rsidRPr="00921949">
        <w:rPr>
          <w:sz w:val="20"/>
          <w:lang w:val="en-US"/>
        </w:rPr>
        <w:t>operated with</w:t>
      </w:r>
      <w:r>
        <w:rPr>
          <w:sz w:val="20"/>
          <w:lang w:val="en-US"/>
        </w:rPr>
        <w:t xml:space="preserve"> </w:t>
      </w:r>
      <w:r w:rsidRPr="00921949">
        <w:rPr>
          <w:sz w:val="20"/>
          <w:lang w:val="en-US"/>
        </w:rPr>
        <w:t xml:space="preserve">smartphone,” 19811724, </w:t>
      </w:r>
      <w:r>
        <w:rPr>
          <w:sz w:val="20"/>
          <w:lang w:val="en-US"/>
        </w:rPr>
        <w:t>Sept. 2020</w:t>
      </w:r>
      <w:r w:rsidRPr="00921949">
        <w:rPr>
          <w:sz w:val="20"/>
          <w:lang w:val="en-US"/>
        </w:rPr>
        <w:t>.</w:t>
      </w:r>
    </w:p>
    <w:p w14:paraId="601E64C8" w14:textId="4D492269" w:rsidR="00921949" w:rsidRDefault="00263E57" w:rsidP="00263E57">
      <w:pPr>
        <w:pStyle w:val="IEEEParagraph"/>
        <w:ind w:firstLine="0"/>
        <w:rPr>
          <w:lang w:val="en-US"/>
        </w:rPr>
      </w:pPr>
      <w:r w:rsidRPr="00263E57">
        <w:rPr>
          <w:lang w:val="en-US"/>
        </w:rPr>
        <w:t>[3]</w:t>
      </w:r>
      <w:r>
        <w:rPr>
          <w:lang w:val="en-US"/>
        </w:rPr>
        <w:t xml:space="preserve"> </w:t>
      </w:r>
      <w:r w:rsidRPr="00263E57">
        <w:rPr>
          <w:lang w:val="en-US"/>
        </w:rPr>
        <w:t xml:space="preserve">M. L. </w:t>
      </w:r>
      <w:proofErr w:type="spellStart"/>
      <w:r w:rsidRPr="00263E57">
        <w:rPr>
          <w:lang w:val="en-US"/>
        </w:rPr>
        <w:t>Salby</w:t>
      </w:r>
      <w:proofErr w:type="spellEnd"/>
      <w:r w:rsidRPr="00263E57">
        <w:rPr>
          <w:lang w:val="en-US"/>
        </w:rPr>
        <w:t>, Fundamentals of Atmospheric Physics. Elsevier, 1996.</w:t>
      </w:r>
    </w:p>
    <w:p w14:paraId="09B9FF7F" w14:textId="3BF47922" w:rsidR="00263E57" w:rsidRPr="00921949" w:rsidRDefault="00263E57" w:rsidP="00263E57">
      <w:pPr>
        <w:pStyle w:val="IEEEParagraph"/>
        <w:ind w:firstLine="0"/>
        <w:rPr>
          <w:lang w:val="en-US"/>
        </w:rPr>
      </w:pPr>
      <w:r w:rsidRPr="00263E57">
        <w:rPr>
          <w:lang w:val="en-US"/>
        </w:rPr>
        <w:t>[</w:t>
      </w:r>
      <w:proofErr w:type="gramStart"/>
      <w:r w:rsidRPr="00263E57">
        <w:rPr>
          <w:lang w:val="en-US"/>
        </w:rPr>
        <w:t>4</w:t>
      </w:r>
      <w:r>
        <w:rPr>
          <w:lang w:val="en-US"/>
        </w:rPr>
        <w:t xml:space="preserve"> </w:t>
      </w:r>
      <w:r w:rsidRPr="00263E57">
        <w:rPr>
          <w:lang w:val="en-US"/>
        </w:rPr>
        <w:t>]</w:t>
      </w:r>
      <w:proofErr w:type="gramEnd"/>
      <w:r w:rsidRPr="00263E57">
        <w:rPr>
          <w:lang w:val="en-US"/>
        </w:rPr>
        <w:t>M. McCann, “Wind Turbulence F2,” Imperial College London, 2022.</w:t>
      </w:r>
    </w:p>
    <w:p w14:paraId="6D4DD73F" w14:textId="77777777" w:rsidR="00921949" w:rsidRPr="00921949" w:rsidRDefault="00921949" w:rsidP="00921949">
      <w:pPr>
        <w:pStyle w:val="IEEEParagraph"/>
      </w:pPr>
    </w:p>
    <w:p w14:paraId="5DD5A6E2" w14:textId="466E7D11" w:rsidR="002069FF" w:rsidRDefault="002069FF" w:rsidP="002069FF">
      <w:pPr>
        <w:pStyle w:val="IEEEHeading1"/>
        <w:numPr>
          <w:ilvl w:val="0"/>
          <w:numId w:val="0"/>
        </w:numPr>
        <w:rPr>
          <w:lang w:val="en-US"/>
        </w:rPr>
      </w:pPr>
      <w:r>
        <w:rPr>
          <w:lang w:val="en-US"/>
        </w:rPr>
        <w:t>APPENDIX</w:t>
      </w:r>
    </w:p>
    <w:p w14:paraId="49ADE5F1" w14:textId="03B6C123" w:rsidR="002069FF" w:rsidRPr="002069FF" w:rsidRDefault="00211ABA" w:rsidP="002069FF">
      <w:pPr>
        <w:pStyle w:val="IEEEReferenceItem"/>
        <w:numPr>
          <w:ilvl w:val="0"/>
          <w:numId w:val="0"/>
        </w:numPr>
        <w:ind w:left="432" w:hanging="432"/>
        <w:rPr>
          <w:sz w:val="20"/>
          <w:lang w:val="fr-FR"/>
        </w:rPr>
      </w:pPr>
      <w:r>
        <w:t xml:space="preserve">Cycle 1 Feedback: Good motivation re magnetometers. Main result slide was very well presented. Nice use of literature finding quantum linear MR paper and using it. </w:t>
      </w:r>
      <w:proofErr w:type="gramStart"/>
      <w:r>
        <w:t>Also</w:t>
      </w:r>
      <w:proofErr w:type="gramEnd"/>
      <w:r>
        <w:t xml:space="preserve"> good effort to think about errors. excellent answers to questions. Got a bit bogged down in technical details. It was fine but not very interesting and not the best use of time. Your T^-1 units for mobility are very unusual but </w:t>
      </w:r>
      <w:proofErr w:type="spellStart"/>
      <w:r>
        <w:t>dimensionaly</w:t>
      </w:r>
      <w:proofErr w:type="spellEnd"/>
      <w:r>
        <w:t xml:space="preserve"> correct. </w:t>
      </w:r>
      <w:proofErr w:type="gramStart"/>
      <w:r>
        <w:t>However</w:t>
      </w:r>
      <w:proofErr w:type="gramEnd"/>
      <w:r>
        <w:t xml:space="preserve"> your audience will understand you better it you use the standard terms they are used to. Table in conclusion unreadable - you weren't using most of it - you could have cut it down and expanded the relevant bit. A lot of the slides were a bit busy with too much technical detail.</w:t>
      </w:r>
      <w:r w:rsidR="00577089">
        <w:t xml:space="preserve"> </w:t>
      </w:r>
    </w:p>
    <w:p w14:paraId="06D858D5" w14:textId="77777777" w:rsidR="002069FF" w:rsidRDefault="002069FF" w:rsidP="002165CE">
      <w:pPr>
        <w:pStyle w:val="IEEEReferenceItem"/>
        <w:numPr>
          <w:ilvl w:val="0"/>
          <w:numId w:val="0"/>
        </w:numPr>
        <w:ind w:left="432" w:hanging="432"/>
        <w:rPr>
          <w:lang w:val="fr-FR"/>
        </w:rPr>
      </w:pPr>
    </w:p>
    <w:p w14:paraId="5A2BBECE" w14:textId="009235C9" w:rsidR="00577089" w:rsidRPr="00A17E84" w:rsidRDefault="00577089" w:rsidP="00577089">
      <w:pPr>
        <w:pStyle w:val="IEEEReferenceItem"/>
        <w:numPr>
          <w:ilvl w:val="0"/>
          <w:numId w:val="0"/>
        </w:numPr>
        <w:ind w:left="432" w:hanging="432"/>
        <w:rPr>
          <w:lang w:val="fr-FR"/>
        </w:rPr>
        <w:sectPr w:rsidR="00577089" w:rsidRPr="00A17E84" w:rsidSect="00752FD7">
          <w:headerReference w:type="even" r:id="rId13"/>
          <w:headerReference w:type="first" r:id="rId14"/>
          <w:footnotePr>
            <w:pos w:val="beneathText"/>
          </w:footnotePr>
          <w:type w:val="continuous"/>
          <w:pgSz w:w="11907" w:h="16839" w:code="9"/>
          <w:pgMar w:top="1008" w:right="936" w:bottom="1008" w:left="936" w:header="706" w:footer="720" w:gutter="0"/>
          <w:cols w:num="2" w:space="284"/>
          <w:docGrid w:linePitch="360"/>
        </w:sectPr>
      </w:pPr>
      <w:r>
        <w:rPr>
          <w:lang w:val="fr-FR"/>
        </w:rPr>
        <w:t xml:space="preserve">Cycle 2 Feedback : </w:t>
      </w:r>
      <w:r>
        <w:t xml:space="preserve">The main comment is the language is not up to standard for a scientific paper, never use "you" or familiar tone. You need to work on your abstract, I was struggling to understand what you meant. There are some formatting issues (missing page number, commas in front of equations, references after full stop, axis labels a bit too small, units </w:t>
      </w:r>
      <w:proofErr w:type="spellStart"/>
      <w:r>
        <w:t>capitalisation</w:t>
      </w:r>
      <w:proofErr w:type="spellEnd"/>
      <w:r>
        <w:t xml:space="preserve"> and not spaced from their number). The experiment was correctly executed, at least for the core Compton scattering measurement. Nice to include an annotated picture of your setup, you're the only one who's done that. I appreciated to see the calibration curve, not many people have done that. </w:t>
      </w:r>
    </w:p>
    <w:p w14:paraId="4AE98BAF" w14:textId="77777777" w:rsidR="002165CE" w:rsidRPr="00577089" w:rsidRDefault="002165CE" w:rsidP="00A17E84">
      <w:pPr>
        <w:pStyle w:val="IEEEParagraph"/>
        <w:ind w:firstLine="0"/>
        <w:rPr>
          <w:lang w:val="fr-FR"/>
        </w:rPr>
      </w:pPr>
    </w:p>
    <w:sectPr w:rsidR="002165CE" w:rsidRPr="00577089" w:rsidSect="00752FD7">
      <w:headerReference w:type="even" r:id="rId15"/>
      <w:headerReference w:type="default" r:id="rId16"/>
      <w:headerReference w:type="first" r:id="rId17"/>
      <w:footnotePr>
        <w:pos w:val="beneathText"/>
      </w:footnotePr>
      <w:type w:val="continuous"/>
      <w:pgSz w:w="11907" w:h="16839" w:code="9"/>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88A3" w14:textId="77777777" w:rsidR="00532FAA" w:rsidRDefault="00532FAA">
      <w:r>
        <w:separator/>
      </w:r>
    </w:p>
  </w:endnote>
  <w:endnote w:type="continuationSeparator" w:id="0">
    <w:p w14:paraId="1B0C1B4E" w14:textId="77777777" w:rsidR="00532FAA" w:rsidRDefault="0053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5949" w14:textId="77777777" w:rsidR="00532FAA" w:rsidRDefault="00532FAA">
      <w:r>
        <w:separator/>
      </w:r>
    </w:p>
  </w:footnote>
  <w:footnote w:type="continuationSeparator" w:id="0">
    <w:p w14:paraId="1C08E989" w14:textId="77777777" w:rsidR="00532FAA" w:rsidRDefault="00532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50B0" w14:textId="55E0B997" w:rsidR="00DD34BE" w:rsidRPr="00211ABA" w:rsidRDefault="00211ABA" w:rsidP="00DD34BE">
    <w:pPr>
      <w:pStyle w:val="Header"/>
      <w:jc w:val="right"/>
      <w:rPr>
        <w:lang w:val="en-US"/>
      </w:rPr>
    </w:pPr>
    <w:r>
      <w:rPr>
        <w:lang w:val="en-US"/>
      </w:rPr>
      <w:t>C. Dudley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A359" w14:textId="77777777"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14:paraId="10DA8179" w14:textId="77777777" w:rsidR="00CD1834" w:rsidRPr="00CD1834" w:rsidRDefault="00CD1834">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6A69" w14:textId="77777777" w:rsidR="00CD1834" w:rsidRPr="00CD1834" w:rsidRDefault="00CD1834">
    <w:pP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3A2" w14:textId="77777777" w:rsidR="00CD1834" w:rsidRDefault="00CD18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B048" w14:textId="77777777" w:rsidR="00CD1834" w:rsidRDefault="00CD18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5B7" w14:textId="77777777" w:rsidR="00CD1834" w:rsidRDefault="00CD183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B4E" w14:textId="77777777" w:rsidR="00CD1834" w:rsidRDefault="00CD18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4B258F0"/>
    <w:multiLevelType w:val="hybridMultilevel"/>
    <w:tmpl w:val="9EE8CD06"/>
    <w:lvl w:ilvl="0" w:tplc="D3700CA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578EB"/>
    <w:multiLevelType w:val="hybridMultilevel"/>
    <w:tmpl w:val="84809682"/>
    <w:lvl w:ilvl="0" w:tplc="91E6C232">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16cid:durableId="1642424417">
    <w:abstractNumId w:val="0"/>
  </w:num>
  <w:num w:numId="2" w16cid:durableId="1269922667">
    <w:abstractNumId w:val="1"/>
  </w:num>
  <w:num w:numId="3" w16cid:durableId="850219901">
    <w:abstractNumId w:val="2"/>
  </w:num>
  <w:num w:numId="4" w16cid:durableId="932665443">
    <w:abstractNumId w:val="3"/>
  </w:num>
  <w:num w:numId="5" w16cid:durableId="1189026609">
    <w:abstractNumId w:val="4"/>
  </w:num>
  <w:num w:numId="6" w16cid:durableId="1339850615">
    <w:abstractNumId w:val="5"/>
  </w:num>
  <w:num w:numId="7" w16cid:durableId="1296906619">
    <w:abstractNumId w:val="6"/>
  </w:num>
  <w:num w:numId="8" w16cid:durableId="18299022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8142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5474943">
    <w:abstractNumId w:val="7"/>
  </w:num>
  <w:num w:numId="11" w16cid:durableId="1958242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60384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74888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68552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944"/>
    <w:rsid w:val="00097A86"/>
    <w:rsid w:val="000A1DF1"/>
    <w:rsid w:val="000A2F75"/>
    <w:rsid w:val="000B3822"/>
    <w:rsid w:val="000D711A"/>
    <w:rsid w:val="000F66E3"/>
    <w:rsid w:val="00122F9E"/>
    <w:rsid w:val="00152AC7"/>
    <w:rsid w:val="001B69EB"/>
    <w:rsid w:val="001C43EC"/>
    <w:rsid w:val="001F487E"/>
    <w:rsid w:val="002069FF"/>
    <w:rsid w:val="00207B54"/>
    <w:rsid w:val="00211ABA"/>
    <w:rsid w:val="002165CE"/>
    <w:rsid w:val="00223787"/>
    <w:rsid w:val="00231861"/>
    <w:rsid w:val="002335E5"/>
    <w:rsid w:val="002355B0"/>
    <w:rsid w:val="00246727"/>
    <w:rsid w:val="0025058B"/>
    <w:rsid w:val="00263E57"/>
    <w:rsid w:val="00276642"/>
    <w:rsid w:val="002860DD"/>
    <w:rsid w:val="00290C89"/>
    <w:rsid w:val="002927CB"/>
    <w:rsid w:val="002C1149"/>
    <w:rsid w:val="002E0987"/>
    <w:rsid w:val="00302368"/>
    <w:rsid w:val="00302C66"/>
    <w:rsid w:val="003114B8"/>
    <w:rsid w:val="00366704"/>
    <w:rsid w:val="00380E87"/>
    <w:rsid w:val="0038181C"/>
    <w:rsid w:val="00395DC3"/>
    <w:rsid w:val="003A2289"/>
    <w:rsid w:val="003C4DB0"/>
    <w:rsid w:val="003C5F86"/>
    <w:rsid w:val="004006BF"/>
    <w:rsid w:val="00410305"/>
    <w:rsid w:val="00411A6C"/>
    <w:rsid w:val="0042097C"/>
    <w:rsid w:val="00440708"/>
    <w:rsid w:val="004818A3"/>
    <w:rsid w:val="0048750B"/>
    <w:rsid w:val="004C405A"/>
    <w:rsid w:val="004F65E3"/>
    <w:rsid w:val="00500100"/>
    <w:rsid w:val="00515404"/>
    <w:rsid w:val="00530F42"/>
    <w:rsid w:val="00532FAA"/>
    <w:rsid w:val="00535E12"/>
    <w:rsid w:val="00557303"/>
    <w:rsid w:val="00577089"/>
    <w:rsid w:val="00582D50"/>
    <w:rsid w:val="005A784B"/>
    <w:rsid w:val="0065578C"/>
    <w:rsid w:val="006845FD"/>
    <w:rsid w:val="006B519E"/>
    <w:rsid w:val="006D3EFF"/>
    <w:rsid w:val="00723EF6"/>
    <w:rsid w:val="007319B8"/>
    <w:rsid w:val="00752FD7"/>
    <w:rsid w:val="007557D1"/>
    <w:rsid w:val="00771AFB"/>
    <w:rsid w:val="007851F8"/>
    <w:rsid w:val="007858F0"/>
    <w:rsid w:val="00794878"/>
    <w:rsid w:val="007A22DB"/>
    <w:rsid w:val="007A3CED"/>
    <w:rsid w:val="007D0646"/>
    <w:rsid w:val="007D2FF2"/>
    <w:rsid w:val="007E3ADD"/>
    <w:rsid w:val="007F065D"/>
    <w:rsid w:val="00805945"/>
    <w:rsid w:val="00812E27"/>
    <w:rsid w:val="00821944"/>
    <w:rsid w:val="00882087"/>
    <w:rsid w:val="0088371C"/>
    <w:rsid w:val="008F4988"/>
    <w:rsid w:val="00917233"/>
    <w:rsid w:val="00921949"/>
    <w:rsid w:val="0093170A"/>
    <w:rsid w:val="00937D61"/>
    <w:rsid w:val="0094099D"/>
    <w:rsid w:val="00943A27"/>
    <w:rsid w:val="00944641"/>
    <w:rsid w:val="00946878"/>
    <w:rsid w:val="00983601"/>
    <w:rsid w:val="009978FD"/>
    <w:rsid w:val="009A0D16"/>
    <w:rsid w:val="009A540F"/>
    <w:rsid w:val="009B2F30"/>
    <w:rsid w:val="009C7C17"/>
    <w:rsid w:val="00A17E84"/>
    <w:rsid w:val="00A56471"/>
    <w:rsid w:val="00A70C93"/>
    <w:rsid w:val="00A90069"/>
    <w:rsid w:val="00A93617"/>
    <w:rsid w:val="00AB4BB8"/>
    <w:rsid w:val="00AE486E"/>
    <w:rsid w:val="00B15315"/>
    <w:rsid w:val="00B30449"/>
    <w:rsid w:val="00B36DA5"/>
    <w:rsid w:val="00B65B09"/>
    <w:rsid w:val="00B81A76"/>
    <w:rsid w:val="00B90826"/>
    <w:rsid w:val="00BA003F"/>
    <w:rsid w:val="00BA2084"/>
    <w:rsid w:val="00C10E9A"/>
    <w:rsid w:val="00C16A90"/>
    <w:rsid w:val="00C3511E"/>
    <w:rsid w:val="00C53415"/>
    <w:rsid w:val="00C6263C"/>
    <w:rsid w:val="00CB4BD0"/>
    <w:rsid w:val="00CB7A3E"/>
    <w:rsid w:val="00CD1834"/>
    <w:rsid w:val="00CE1277"/>
    <w:rsid w:val="00CF69A4"/>
    <w:rsid w:val="00D02021"/>
    <w:rsid w:val="00D125E6"/>
    <w:rsid w:val="00D2015F"/>
    <w:rsid w:val="00D23783"/>
    <w:rsid w:val="00D53314"/>
    <w:rsid w:val="00D55230"/>
    <w:rsid w:val="00D823F0"/>
    <w:rsid w:val="00DA7B8C"/>
    <w:rsid w:val="00DD34BE"/>
    <w:rsid w:val="00E032DB"/>
    <w:rsid w:val="00E60750"/>
    <w:rsid w:val="00E77A20"/>
    <w:rsid w:val="00EA042F"/>
    <w:rsid w:val="00EA1309"/>
    <w:rsid w:val="00EA58ED"/>
    <w:rsid w:val="00EB176C"/>
    <w:rsid w:val="00EF16F6"/>
    <w:rsid w:val="00F172ED"/>
    <w:rsid w:val="00F27533"/>
    <w:rsid w:val="00F30CE4"/>
    <w:rsid w:val="00F325E3"/>
    <w:rsid w:val="00F53C33"/>
    <w:rsid w:val="00F61CE2"/>
    <w:rsid w:val="00F73F1A"/>
    <w:rsid w:val="00F9502F"/>
    <w:rsid w:val="00FA0020"/>
    <w:rsid w:val="00FC5E32"/>
    <w:rsid w:val="00FF55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7E96"/>
  <w15:docId w15:val="{A8DAA336-2D32-4565-BCB8-CCC81759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UnresolvedMention1">
    <w:name w:val="Unresolved Mention1"/>
    <w:basedOn w:val="DefaultParagraphFont"/>
    <w:uiPriority w:val="99"/>
    <w:semiHidden/>
    <w:unhideWhenUsed/>
    <w:rsid w:val="006B519E"/>
    <w:rPr>
      <w:color w:val="605E5C"/>
      <w:shd w:val="clear" w:color="auto" w:fill="E1DFDD"/>
    </w:rPr>
  </w:style>
  <w:style w:type="character" w:styleId="FollowedHyperlink">
    <w:name w:val="FollowedHyperlink"/>
    <w:basedOn w:val="DefaultParagraphFont"/>
    <w:rsid w:val="008F4988"/>
    <w:rPr>
      <w:color w:val="954F72" w:themeColor="followedHyperlink"/>
      <w:u w:val="single"/>
    </w:rPr>
  </w:style>
  <w:style w:type="paragraph" w:styleId="NormalWeb">
    <w:name w:val="Normal (Web)"/>
    <w:basedOn w:val="Normal"/>
    <w:uiPriority w:val="99"/>
    <w:rsid w:val="00BA2084"/>
  </w:style>
  <w:style w:type="character" w:styleId="PlaceholderText">
    <w:name w:val="Placeholder Text"/>
    <w:basedOn w:val="DefaultParagraphFont"/>
    <w:uiPriority w:val="99"/>
    <w:semiHidden/>
    <w:rsid w:val="00DA7B8C"/>
    <w:rPr>
      <w:color w:val="808080"/>
    </w:rPr>
  </w:style>
  <w:style w:type="character" w:customStyle="1" w:styleId="Heading1Char">
    <w:name w:val="Heading 1 Char"/>
    <w:basedOn w:val="DefaultParagraphFont"/>
    <w:link w:val="Heading1"/>
    <w:uiPriority w:val="9"/>
    <w:rsid w:val="00921949"/>
    <w:rPr>
      <w:rFonts w:ascii="Arial" w:eastAsia="SimSun" w:hAnsi="Arial" w:cs="Arial"/>
      <w:b/>
      <w:bCs/>
      <w:kern w:val="1"/>
      <w:sz w:val="32"/>
      <w:szCs w:val="32"/>
      <w:lang w:val="en-AU" w:eastAsia="ar-SA"/>
    </w:rPr>
  </w:style>
  <w:style w:type="paragraph" w:styleId="Bibliography">
    <w:name w:val="Bibliography"/>
    <w:basedOn w:val="Normal"/>
    <w:next w:val="Normal"/>
    <w:uiPriority w:val="37"/>
    <w:unhideWhenUsed/>
    <w:rsid w:val="00921949"/>
  </w:style>
  <w:style w:type="character" w:styleId="UnresolvedMention">
    <w:name w:val="Unresolved Mention"/>
    <w:basedOn w:val="DefaultParagraphFont"/>
    <w:uiPriority w:val="99"/>
    <w:semiHidden/>
    <w:unhideWhenUsed/>
    <w:rsid w:val="0092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876">
      <w:bodyDiv w:val="1"/>
      <w:marLeft w:val="0"/>
      <w:marRight w:val="0"/>
      <w:marTop w:val="0"/>
      <w:marBottom w:val="0"/>
      <w:divBdr>
        <w:top w:val="none" w:sz="0" w:space="0" w:color="auto"/>
        <w:left w:val="none" w:sz="0" w:space="0" w:color="auto"/>
        <w:bottom w:val="none" w:sz="0" w:space="0" w:color="auto"/>
        <w:right w:val="none" w:sz="0" w:space="0" w:color="auto"/>
      </w:divBdr>
    </w:div>
    <w:div w:id="147408218">
      <w:bodyDiv w:val="1"/>
      <w:marLeft w:val="0"/>
      <w:marRight w:val="0"/>
      <w:marTop w:val="0"/>
      <w:marBottom w:val="0"/>
      <w:divBdr>
        <w:top w:val="none" w:sz="0" w:space="0" w:color="auto"/>
        <w:left w:val="none" w:sz="0" w:space="0" w:color="auto"/>
        <w:bottom w:val="none" w:sz="0" w:space="0" w:color="auto"/>
        <w:right w:val="none" w:sz="0" w:space="0" w:color="auto"/>
      </w:divBdr>
      <w:divsChild>
        <w:div w:id="1228492032">
          <w:marLeft w:val="0"/>
          <w:marRight w:val="0"/>
          <w:marTop w:val="0"/>
          <w:marBottom w:val="0"/>
          <w:divBdr>
            <w:top w:val="none" w:sz="0" w:space="0" w:color="auto"/>
            <w:left w:val="none" w:sz="0" w:space="0" w:color="auto"/>
            <w:bottom w:val="none" w:sz="0" w:space="0" w:color="auto"/>
            <w:right w:val="none" w:sz="0" w:space="0" w:color="auto"/>
          </w:divBdr>
          <w:divsChild>
            <w:div w:id="1877351044">
              <w:marLeft w:val="0"/>
              <w:marRight w:val="0"/>
              <w:marTop w:val="0"/>
              <w:marBottom w:val="0"/>
              <w:divBdr>
                <w:top w:val="none" w:sz="0" w:space="0" w:color="auto"/>
                <w:left w:val="none" w:sz="0" w:space="0" w:color="auto"/>
                <w:bottom w:val="none" w:sz="0" w:space="0" w:color="auto"/>
                <w:right w:val="none" w:sz="0" w:space="0" w:color="auto"/>
              </w:divBdr>
            </w:div>
            <w:div w:id="12962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610">
      <w:bodyDiv w:val="1"/>
      <w:marLeft w:val="0"/>
      <w:marRight w:val="0"/>
      <w:marTop w:val="0"/>
      <w:marBottom w:val="0"/>
      <w:divBdr>
        <w:top w:val="none" w:sz="0" w:space="0" w:color="auto"/>
        <w:left w:val="none" w:sz="0" w:space="0" w:color="auto"/>
        <w:bottom w:val="none" w:sz="0" w:space="0" w:color="auto"/>
        <w:right w:val="none" w:sz="0" w:space="0" w:color="auto"/>
      </w:divBdr>
    </w:div>
    <w:div w:id="362025431">
      <w:bodyDiv w:val="1"/>
      <w:marLeft w:val="0"/>
      <w:marRight w:val="0"/>
      <w:marTop w:val="0"/>
      <w:marBottom w:val="0"/>
      <w:divBdr>
        <w:top w:val="none" w:sz="0" w:space="0" w:color="auto"/>
        <w:left w:val="none" w:sz="0" w:space="0" w:color="auto"/>
        <w:bottom w:val="none" w:sz="0" w:space="0" w:color="auto"/>
        <w:right w:val="none" w:sz="0" w:space="0" w:color="auto"/>
      </w:divBdr>
    </w:div>
    <w:div w:id="384721240">
      <w:bodyDiv w:val="1"/>
      <w:marLeft w:val="0"/>
      <w:marRight w:val="0"/>
      <w:marTop w:val="0"/>
      <w:marBottom w:val="0"/>
      <w:divBdr>
        <w:top w:val="none" w:sz="0" w:space="0" w:color="auto"/>
        <w:left w:val="none" w:sz="0" w:space="0" w:color="auto"/>
        <w:bottom w:val="none" w:sz="0" w:space="0" w:color="auto"/>
        <w:right w:val="none" w:sz="0" w:space="0" w:color="auto"/>
      </w:divBdr>
    </w:div>
    <w:div w:id="659582151">
      <w:bodyDiv w:val="1"/>
      <w:marLeft w:val="0"/>
      <w:marRight w:val="0"/>
      <w:marTop w:val="0"/>
      <w:marBottom w:val="0"/>
      <w:divBdr>
        <w:top w:val="none" w:sz="0" w:space="0" w:color="auto"/>
        <w:left w:val="none" w:sz="0" w:space="0" w:color="auto"/>
        <w:bottom w:val="none" w:sz="0" w:space="0" w:color="auto"/>
        <w:right w:val="none" w:sz="0" w:space="0" w:color="auto"/>
      </w:divBdr>
    </w:div>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737435554">
      <w:bodyDiv w:val="1"/>
      <w:marLeft w:val="0"/>
      <w:marRight w:val="0"/>
      <w:marTop w:val="0"/>
      <w:marBottom w:val="0"/>
      <w:divBdr>
        <w:top w:val="none" w:sz="0" w:space="0" w:color="auto"/>
        <w:left w:val="none" w:sz="0" w:space="0" w:color="auto"/>
        <w:bottom w:val="none" w:sz="0" w:space="0" w:color="auto"/>
        <w:right w:val="none" w:sz="0" w:space="0" w:color="auto"/>
      </w:divBdr>
      <w:divsChild>
        <w:div w:id="395860946">
          <w:marLeft w:val="0"/>
          <w:marRight w:val="0"/>
          <w:marTop w:val="0"/>
          <w:marBottom w:val="150"/>
          <w:divBdr>
            <w:top w:val="none" w:sz="0" w:space="0" w:color="auto"/>
            <w:left w:val="none" w:sz="0" w:space="0" w:color="auto"/>
            <w:bottom w:val="none" w:sz="0" w:space="0" w:color="auto"/>
            <w:right w:val="none" w:sz="0" w:space="0" w:color="auto"/>
          </w:divBdr>
          <w:divsChild>
            <w:div w:id="1667391608">
              <w:marLeft w:val="0"/>
              <w:marRight w:val="720"/>
              <w:marTop w:val="0"/>
              <w:marBottom w:val="0"/>
              <w:divBdr>
                <w:top w:val="none" w:sz="0" w:space="0" w:color="auto"/>
                <w:left w:val="none" w:sz="0" w:space="0" w:color="auto"/>
                <w:bottom w:val="none" w:sz="0" w:space="0" w:color="auto"/>
                <w:right w:val="none" w:sz="0" w:space="0" w:color="auto"/>
              </w:divBdr>
            </w:div>
            <w:div w:id="9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850994534">
      <w:bodyDiv w:val="1"/>
      <w:marLeft w:val="0"/>
      <w:marRight w:val="0"/>
      <w:marTop w:val="0"/>
      <w:marBottom w:val="0"/>
      <w:divBdr>
        <w:top w:val="none" w:sz="0" w:space="0" w:color="auto"/>
        <w:left w:val="none" w:sz="0" w:space="0" w:color="auto"/>
        <w:bottom w:val="none" w:sz="0" w:space="0" w:color="auto"/>
        <w:right w:val="none" w:sz="0" w:space="0" w:color="auto"/>
      </w:divBdr>
    </w:div>
    <w:div w:id="1086683205">
      <w:bodyDiv w:val="1"/>
      <w:marLeft w:val="0"/>
      <w:marRight w:val="0"/>
      <w:marTop w:val="0"/>
      <w:marBottom w:val="0"/>
      <w:divBdr>
        <w:top w:val="none" w:sz="0" w:space="0" w:color="auto"/>
        <w:left w:val="none" w:sz="0" w:space="0" w:color="auto"/>
        <w:bottom w:val="none" w:sz="0" w:space="0" w:color="auto"/>
        <w:right w:val="none" w:sz="0" w:space="0" w:color="auto"/>
      </w:divBdr>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 w:id="1377851983">
      <w:bodyDiv w:val="1"/>
      <w:marLeft w:val="0"/>
      <w:marRight w:val="0"/>
      <w:marTop w:val="0"/>
      <w:marBottom w:val="0"/>
      <w:divBdr>
        <w:top w:val="none" w:sz="0" w:space="0" w:color="auto"/>
        <w:left w:val="none" w:sz="0" w:space="0" w:color="auto"/>
        <w:bottom w:val="none" w:sz="0" w:space="0" w:color="auto"/>
        <w:right w:val="none" w:sz="0" w:space="0" w:color="auto"/>
      </w:divBdr>
    </w:div>
    <w:div w:id="1521315530">
      <w:bodyDiv w:val="1"/>
      <w:marLeft w:val="0"/>
      <w:marRight w:val="0"/>
      <w:marTop w:val="0"/>
      <w:marBottom w:val="0"/>
      <w:divBdr>
        <w:top w:val="none" w:sz="0" w:space="0" w:color="auto"/>
        <w:left w:val="none" w:sz="0" w:space="0" w:color="auto"/>
        <w:bottom w:val="none" w:sz="0" w:space="0" w:color="auto"/>
        <w:right w:val="none" w:sz="0" w:space="0" w:color="auto"/>
      </w:divBdr>
    </w:div>
    <w:div w:id="1569802270">
      <w:bodyDiv w:val="1"/>
      <w:marLeft w:val="0"/>
      <w:marRight w:val="0"/>
      <w:marTop w:val="0"/>
      <w:marBottom w:val="0"/>
      <w:divBdr>
        <w:top w:val="none" w:sz="0" w:space="0" w:color="auto"/>
        <w:left w:val="none" w:sz="0" w:space="0" w:color="auto"/>
        <w:bottom w:val="none" w:sz="0" w:space="0" w:color="auto"/>
        <w:right w:val="none" w:sz="0" w:space="0" w:color="auto"/>
      </w:divBdr>
    </w:div>
    <w:div w:id="1632856182">
      <w:bodyDiv w:val="1"/>
      <w:marLeft w:val="0"/>
      <w:marRight w:val="0"/>
      <w:marTop w:val="0"/>
      <w:marBottom w:val="0"/>
      <w:divBdr>
        <w:top w:val="none" w:sz="0" w:space="0" w:color="auto"/>
        <w:left w:val="none" w:sz="0" w:space="0" w:color="auto"/>
        <w:bottom w:val="none" w:sz="0" w:space="0" w:color="auto"/>
        <w:right w:val="none" w:sz="0" w:space="0" w:color="auto"/>
      </w:divBdr>
    </w:div>
    <w:div w:id="1671982838">
      <w:bodyDiv w:val="1"/>
      <w:marLeft w:val="0"/>
      <w:marRight w:val="0"/>
      <w:marTop w:val="0"/>
      <w:marBottom w:val="0"/>
      <w:divBdr>
        <w:top w:val="none" w:sz="0" w:space="0" w:color="auto"/>
        <w:left w:val="none" w:sz="0" w:space="0" w:color="auto"/>
        <w:bottom w:val="none" w:sz="0" w:space="0" w:color="auto"/>
        <w:right w:val="none" w:sz="0" w:space="0" w:color="auto"/>
      </w:divBdr>
    </w:div>
    <w:div w:id="1799302152">
      <w:bodyDiv w:val="1"/>
      <w:marLeft w:val="0"/>
      <w:marRight w:val="0"/>
      <w:marTop w:val="0"/>
      <w:marBottom w:val="0"/>
      <w:divBdr>
        <w:top w:val="none" w:sz="0" w:space="0" w:color="auto"/>
        <w:left w:val="none" w:sz="0" w:space="0" w:color="auto"/>
        <w:bottom w:val="none" w:sz="0" w:space="0" w:color="auto"/>
        <w:right w:val="none" w:sz="0" w:space="0" w:color="auto"/>
      </w:divBdr>
    </w:div>
    <w:div w:id="1835559664">
      <w:bodyDiv w:val="1"/>
      <w:marLeft w:val="0"/>
      <w:marRight w:val="0"/>
      <w:marTop w:val="0"/>
      <w:marBottom w:val="0"/>
      <w:divBdr>
        <w:top w:val="none" w:sz="0" w:space="0" w:color="auto"/>
        <w:left w:val="none" w:sz="0" w:space="0" w:color="auto"/>
        <w:bottom w:val="none" w:sz="0" w:space="0" w:color="auto"/>
        <w:right w:val="none" w:sz="0" w:space="0" w:color="auto"/>
      </w:divBdr>
    </w:div>
    <w:div w:id="1876849254">
      <w:bodyDiv w:val="1"/>
      <w:marLeft w:val="0"/>
      <w:marRight w:val="0"/>
      <w:marTop w:val="0"/>
      <w:marBottom w:val="0"/>
      <w:divBdr>
        <w:top w:val="none" w:sz="0" w:space="0" w:color="auto"/>
        <w:left w:val="none" w:sz="0" w:space="0" w:color="auto"/>
        <w:bottom w:val="none" w:sz="0" w:space="0" w:color="auto"/>
        <w:right w:val="none" w:sz="0" w:space="0" w:color="auto"/>
      </w:divBdr>
    </w:div>
    <w:div w:id="1880704742">
      <w:bodyDiv w:val="1"/>
      <w:marLeft w:val="0"/>
      <w:marRight w:val="0"/>
      <w:marTop w:val="0"/>
      <w:marBottom w:val="0"/>
      <w:divBdr>
        <w:top w:val="none" w:sz="0" w:space="0" w:color="auto"/>
        <w:left w:val="none" w:sz="0" w:space="0" w:color="auto"/>
        <w:bottom w:val="none" w:sz="0" w:space="0" w:color="auto"/>
        <w:right w:val="none" w:sz="0" w:space="0" w:color="auto"/>
      </w:divBdr>
    </w:div>
    <w:div w:id="1886408360">
      <w:bodyDiv w:val="1"/>
      <w:marLeft w:val="0"/>
      <w:marRight w:val="0"/>
      <w:marTop w:val="0"/>
      <w:marBottom w:val="0"/>
      <w:divBdr>
        <w:top w:val="none" w:sz="0" w:space="0" w:color="auto"/>
        <w:left w:val="none" w:sz="0" w:space="0" w:color="auto"/>
        <w:bottom w:val="none" w:sz="0" w:space="0" w:color="auto"/>
        <w:right w:val="none" w:sz="0" w:space="0" w:color="auto"/>
      </w:divBdr>
    </w:div>
    <w:div w:id="2042783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Hot23</b:Tag>
    <b:SourceType>InternetSite</b:SourceType>
    <b:Guid>{EC3EE626-A90D-4167-9F9E-79EB436DAFFB}</b:Guid>
    <b:Title>Hot Wire Theory</b:Title>
    <b:Year>2023</b:Year>
    <b:ProductionCompany>eFunda</b:ProductionCompany>
    <b:RefOrder>1</b:RefOrder>
  </b:Source>
</b:Sources>
</file>

<file path=customXml/itemProps1.xml><?xml version="1.0" encoding="utf-8"?>
<ds:datastoreItem xmlns:ds="http://schemas.openxmlformats.org/officeDocument/2006/customXml" ds:itemID="{856465CC-8BB5-46D5-9DCB-912E7BD8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Dudley, Colton</cp:lastModifiedBy>
  <cp:revision>6</cp:revision>
  <cp:lastPrinted>2022-11-24T16:10:00Z</cp:lastPrinted>
  <dcterms:created xsi:type="dcterms:W3CDTF">2022-12-28T11:32:00Z</dcterms:created>
  <dcterms:modified xsi:type="dcterms:W3CDTF">2023-01-05T16:59:00Z</dcterms:modified>
</cp:coreProperties>
</file>