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6.png" ContentType="image/png"/>
  <Override PartName="/word/media/rId60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оп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Кибербезопасность</w:t>
      </w:r>
      <w:r>
        <w:t xml:space="preserve"> </w:t>
      </w:r>
      <w:r>
        <w:t xml:space="preserve">предприятия</w:t>
      </w:r>
    </w:p>
    <w:p>
      <w:pPr>
        <w:pStyle w:val="Author"/>
      </w:pPr>
      <w:r>
        <w:t xml:space="preserve">Апареев</w:t>
      </w:r>
      <w:r>
        <w:t xml:space="preserve"> </w:t>
      </w:r>
      <w:r>
        <w:t xml:space="preserve">Д.А.,</w:t>
      </w:r>
      <w:r>
        <w:t xml:space="preserve"> </w:t>
      </w:r>
      <w:r>
        <w:t xml:space="preserve">Игнатенкова</w:t>
      </w:r>
      <w:r>
        <w:t xml:space="preserve"> </w:t>
      </w:r>
      <w:r>
        <w:t xml:space="preserve">В.Н.,</w:t>
      </w:r>
      <w:r>
        <w:t xml:space="preserve"> </w:t>
      </w:r>
      <w:r>
        <w:t xml:space="preserve">Демидович</w:t>
      </w:r>
      <w:r>
        <w:t xml:space="preserve"> </w:t>
      </w:r>
      <w:r>
        <w:t xml:space="preserve">Н.М.,</w:t>
      </w:r>
      <w:r>
        <w:t xml:space="preserve"> </w:t>
      </w:r>
      <w:r>
        <w:t xml:space="preserve">Ендонова</w:t>
      </w:r>
      <w:r>
        <w:t xml:space="preserve"> </w:t>
      </w:r>
      <w:r>
        <w:t xml:space="preserve">А.В.,</w:t>
      </w:r>
      <w:r>
        <w:t xml:space="preserve"> </w:t>
      </w:r>
      <w:r>
        <w:t xml:space="preserve">Машковцева</w:t>
      </w:r>
      <w:r>
        <w:t xml:space="preserve"> </w:t>
      </w:r>
      <w:r>
        <w:t xml:space="preserve">К.С.,</w:t>
      </w:r>
      <w:r>
        <w:t xml:space="preserve"> </w:t>
      </w:r>
      <w:r>
        <w:t xml:space="preserve">Шубнякова</w:t>
      </w:r>
      <w:r>
        <w:t xml:space="preserve"> </w:t>
      </w:r>
      <w:r>
        <w:t xml:space="preserve">Д.И.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задача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Задача</w:t>
      </w:r>
    </w:p>
    <w:p>
      <w:pPr>
        <w:pStyle w:val="FirstParagraph"/>
      </w:pPr>
      <w:r>
        <w:t xml:space="preserve">Научиться обнаруживать и эксплуатировать уязвимости в изолированной сетевой среде для получения несанкционированного доступа к резервным копиям данных, хранящимся на backup-сервере.</w:t>
      </w:r>
    </w:p>
    <w:p>
      <w:pPr>
        <w:pStyle w:val="BodyText"/>
      </w:pPr>
      <w:r>
        <w:t xml:space="preserve">Способы получения флага:</w:t>
      </w:r>
      <w:r>
        <w:t xml:space="preserve"> </w:t>
      </w:r>
      <w:r>
        <w:t xml:space="preserve">1. Поиск backup-сервера</w:t>
      </w:r>
      <w:r>
        <w:t xml:space="preserve"> </w:t>
      </w:r>
      <w:r>
        <w:t xml:space="preserve">2. Эксплуатация уязвимости ms17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numPr>
          <w:ilvl w:val="0"/>
          <w:numId w:val="1001"/>
        </w:numPr>
      </w:pPr>
      <w:r>
        <w:t xml:space="preserve">Meterpreter — полезная нагрузка в Metasploit Framework, предоставляющая интерактивную оболочку для управления скомпрометированной системой.</w:t>
      </w:r>
    </w:p>
    <w:p>
      <w:pPr>
        <w:numPr>
          <w:ilvl w:val="0"/>
          <w:numId w:val="1001"/>
        </w:numPr>
      </w:pPr>
      <w:r>
        <w:t xml:space="preserve">MS17-010 (EternalBlue) — уязвимость в протоколе SMBv1, позволяющая выполнить удалённый код на уязвимых системах Windows.</w:t>
      </w:r>
    </w:p>
    <w:p>
      <w:pPr>
        <w:numPr>
          <w:ilvl w:val="0"/>
          <w:numId w:val="1001"/>
        </w:numPr>
      </w:pPr>
      <w:r>
        <w:t xml:space="preserve">ARP-сканирование — метод обнаружения активных хостов в локальной сети по MAC-адресам.</w:t>
      </w:r>
    </w:p>
    <w:p>
      <w:pPr>
        <w:numPr>
          <w:ilvl w:val="0"/>
          <w:numId w:val="1001"/>
        </w:numPr>
      </w:pPr>
      <w:r>
        <w:t xml:space="preserve">Проброс портов (port forwarding) — техника, позволяющая перенаправлять сетевой трафик через скомпрометированный узел для доступа к внутренним ресурсам.</w:t>
      </w:r>
    </w:p>
    <w:p>
      <w:pPr>
        <w:numPr>
          <w:ilvl w:val="0"/>
          <w:numId w:val="1001"/>
        </w:numPr>
      </w:pPr>
      <w:r>
        <w:t xml:space="preserve">SMB (Server Message Block) — сетевой протокол для совместного доступа к файлам, принтерам и другим ресурсам.</w:t>
      </w:r>
    </w:p>
    <w:bookmarkEnd w:id="21"/>
    <w:bookmarkStart w:id="69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0" w:name="описание-сценария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Описание сценария</w:t>
      </w:r>
    </w:p>
    <w:p>
      <w:pPr>
        <w:pStyle w:val="FirstParagraph"/>
      </w:pPr>
      <w:r>
        <w:t xml:space="preserve">Для получения доступа во внутреннюю сеть была использована уязвимость в WordPress-плагине wp_wpdiscuz_unauthenticated_file_upload, позволяющая загрузить вредоносный файл и получить meterpreter-сессию на корпоративном сайте.</w:t>
      </w:r>
      <w:r>
        <w:t xml:space="preserve"> </w:t>
      </w:r>
      <w:r>
        <w:t xml:space="preserve">Альтернативно можно было использовать уязвимость exchange_proxyshell_rce на почтовом сервере (рис. 1).</w:t>
      </w:r>
    </w:p>
    <w:p>
      <w:pPr>
        <w:pStyle w:val="CaptionedFigure"/>
      </w:pPr>
      <w:bookmarkStart w:id="25" w:name="fig:001"/>
      <w:r>
        <w:drawing>
          <wp:inline>
            <wp:extent cx="5334000" cy="2935591"/>
            <wp:effectExtent b="0" l="0" r="0" t="0"/>
            <wp:docPr descr="Рис. 1: Получение meterpreter-сессии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5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Получение meterpreter-сессии</w:t>
      </w:r>
    </w:p>
    <w:p>
      <w:pPr>
        <w:pStyle w:val="BodyText"/>
      </w:pPr>
      <w:r>
        <w:t xml:space="preserve">После успешной эксплуатации была получена активная meterpreter-сессия с узлом в DMZ (рис. 2).</w:t>
      </w:r>
    </w:p>
    <w:p>
      <w:pPr>
        <w:pStyle w:val="CaptionedFigure"/>
      </w:pPr>
      <w:bookmarkStart w:id="29" w:name="fig:002"/>
      <w:r>
        <w:drawing>
          <wp:inline>
            <wp:extent cx="5334000" cy="3751881"/>
            <wp:effectExtent b="0" l="0" r="0" t="0"/>
            <wp:docPr descr="Рис. 2: Запуск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1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Запуск</w:t>
      </w:r>
    </w:p>
    <w:bookmarkEnd w:id="30"/>
    <w:bookmarkStart w:id="55" w:name="поиск-backup-сервер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Поиск backup-сервера</w:t>
      </w:r>
    </w:p>
    <w:p>
      <w:pPr>
        <w:pStyle w:val="FirstParagraph"/>
      </w:pPr>
      <w:r>
        <w:t xml:space="preserve">Отображаем конфигурацию сети (рис. 3).</w:t>
      </w:r>
    </w:p>
    <w:p>
      <w:pPr>
        <w:pStyle w:val="CaptionedFigure"/>
      </w:pPr>
      <w:bookmarkStart w:id="34" w:name="fig:003"/>
      <w:r>
        <w:drawing>
          <wp:inline>
            <wp:extent cx="5334000" cy="3825240"/>
            <wp:effectExtent b="0" l="0" r="0" t="0"/>
            <wp:docPr descr="Рис. 3: Отображение сетевых интерфейсов" title="" id="32" name="Picture"/>
            <a:graphic>
              <a:graphicData uri="http://schemas.openxmlformats.org/drawingml/2006/picture">
                <pic:pic>
                  <pic:nvPicPr>
                    <pic:cNvPr descr="image/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5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Отображение сетевых интерфейсов</w:t>
      </w:r>
    </w:p>
    <w:p>
      <w:pPr>
        <w:pStyle w:val="BodyText"/>
      </w:pPr>
      <w:r>
        <w:t xml:space="preserve">Прописываем в активной meterpreter-сессии маршрут до данной подсети (рис. 4).</w:t>
      </w:r>
    </w:p>
    <w:p>
      <w:pPr>
        <w:pStyle w:val="CaptionedFigure"/>
      </w:pPr>
      <w:bookmarkStart w:id="38" w:name="fig:004"/>
      <w:r>
        <w:drawing>
          <wp:inline>
            <wp:extent cx="5334000" cy="1145288"/>
            <wp:effectExtent b="0" l="0" r="0" t="0"/>
            <wp:docPr descr="Рис. 4: Проброс портов во внутреннюю сеть" title="" id="36" name="Picture"/>
            <a:graphic>
              <a:graphicData uri="http://schemas.openxmlformats.org/drawingml/2006/picture">
                <pic:pic>
                  <pic:nvPicPr>
                    <pic:cNvPr descr="image/0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5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Проброс портов во внутреннюю сеть</w:t>
      </w:r>
    </w:p>
    <w:p>
      <w:pPr>
        <w:pStyle w:val="BodyText"/>
      </w:pPr>
      <w:r>
        <w:t xml:space="preserve">Далее сворачиваем активную сессию и запускаем прокси-сервер с помощью socks (рис. 5).</w:t>
      </w:r>
    </w:p>
    <w:p>
      <w:pPr>
        <w:pStyle w:val="CaptionedFigure"/>
      </w:pPr>
      <w:bookmarkStart w:id="42" w:name="fig:005"/>
      <w:r>
        <w:drawing>
          <wp:inline>
            <wp:extent cx="5334000" cy="2557293"/>
            <wp:effectExtent b="0" l="0" r="0" t="0"/>
            <wp:docPr descr="Рис. 5: Запуск прокси-сервера" title="" id="40" name="Picture"/>
            <a:graphic>
              <a:graphicData uri="http://schemas.openxmlformats.org/drawingml/2006/picture">
                <pic:pic>
                  <pic:nvPicPr>
                    <pic:cNvPr descr="image/0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7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Запуск прокси-сервера</w:t>
      </w:r>
    </w:p>
    <w:p>
      <w:pPr>
        <w:pStyle w:val="BodyText"/>
      </w:pPr>
      <w:r>
        <w:t xml:space="preserve">Продолжаем сбор информации о найденной подсети с помощью arp_scanner (рис. 6).</w:t>
      </w:r>
    </w:p>
    <w:p>
      <w:pPr>
        <w:pStyle w:val="CaptionedFigure"/>
      </w:pPr>
      <w:bookmarkStart w:id="46" w:name="fig:006"/>
      <w:r>
        <w:drawing>
          <wp:inline>
            <wp:extent cx="5334000" cy="2507776"/>
            <wp:effectExtent b="0" l="0" r="0" t="0"/>
            <wp:docPr descr="Рис. 6: arp_scanner" title="" id="44" name="Picture"/>
            <a:graphic>
              <a:graphicData uri="http://schemas.openxmlformats.org/drawingml/2006/picture">
                <pic:pic>
                  <pic:nvPicPr>
                    <pic:cNvPr descr="image/0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7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arp_scanner</w:t>
      </w:r>
    </w:p>
    <w:p>
      <w:pPr>
        <w:pStyle w:val="BodyText"/>
      </w:pPr>
      <w:r>
        <w:t xml:space="preserve">Далее проводим сканирование открытых портов на найденных хостах, используя модуль portscan/tcp (рис. 7, 8).</w:t>
      </w:r>
    </w:p>
    <w:p>
      <w:pPr>
        <w:pStyle w:val="CaptionedFigure"/>
      </w:pPr>
      <w:bookmarkStart w:id="50" w:name="fig:007"/>
      <w:r>
        <w:drawing>
          <wp:inline>
            <wp:extent cx="5334000" cy="2504172"/>
            <wp:effectExtent b="0" l="0" r="0" t="0"/>
            <wp:docPr descr="Рис. 7: Сканирование открытых портов на хосте" title="" id="48" name="Picture"/>
            <a:graphic>
              <a:graphicData uri="http://schemas.openxmlformats.org/drawingml/2006/picture">
                <pic:pic>
                  <pic:nvPicPr>
                    <pic:cNvPr descr="image/0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4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Сканирование открытых портов на хосте</w:t>
      </w:r>
    </w:p>
    <w:p>
      <w:pPr>
        <w:pStyle w:val="CaptionedFigure"/>
      </w:pPr>
      <w:bookmarkStart w:id="54" w:name="fig:008"/>
      <w:r>
        <w:drawing>
          <wp:inline>
            <wp:extent cx="5334000" cy="1939636"/>
            <wp:effectExtent b="0" l="0" r="0" t="0"/>
            <wp:docPr descr="Рис. 8: Сканирование portscan" title="" id="52" name="Picture"/>
            <a:graphic>
              <a:graphicData uri="http://schemas.openxmlformats.org/drawingml/2006/picture">
                <pic:pic>
                  <pic:nvPicPr>
                    <pic:cNvPr descr="image/0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Сканирование portscan</w:t>
      </w:r>
    </w:p>
    <w:bookmarkEnd w:id="55"/>
    <w:bookmarkStart w:id="68" w:name="эксплуатация-уязвимости-ms17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Эксплуатация уязвимости ms17</w:t>
      </w:r>
    </w:p>
    <w:p>
      <w:pPr>
        <w:pStyle w:val="FirstParagraph"/>
      </w:pPr>
      <w:r>
        <w:t xml:space="preserve">С помощью модуля scanner/smb проводим сканирование порта smb на наличие уязвимости ms17 (рис. 9).</w:t>
      </w:r>
    </w:p>
    <w:p>
      <w:pPr>
        <w:pStyle w:val="CaptionedFigure"/>
      </w:pPr>
      <w:bookmarkStart w:id="59" w:name="fig:009"/>
      <w:r>
        <w:drawing>
          <wp:inline>
            <wp:extent cx="5334000" cy="2766060"/>
            <wp:effectExtent b="0" l="0" r="0" t="0"/>
            <wp:docPr descr="Рис. 9: Сканирование порта на наличие уязвимости" title="" id="57" name="Picture"/>
            <a:graphic>
              <a:graphicData uri="http://schemas.openxmlformats.org/drawingml/2006/picture">
                <pic:pic>
                  <pic:nvPicPr>
                    <pic:cNvPr descr="image/1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6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9: Сканирование порта на наличие уязвимости</w:t>
      </w:r>
    </w:p>
    <w:p>
      <w:pPr>
        <w:pStyle w:val="BodyText"/>
      </w:pPr>
      <w:r>
        <w:t xml:space="preserve">Хост уязвим для ms17. Для эксплуатации уязвимости нужно воспользоваться модулем (рис. 10).</w:t>
      </w:r>
    </w:p>
    <w:p>
      <w:pPr>
        <w:pStyle w:val="CaptionedFigure"/>
      </w:pPr>
      <w:bookmarkStart w:id="63" w:name="fig:010"/>
      <w:r>
        <w:drawing>
          <wp:inline>
            <wp:extent cx="5334000" cy="3617575"/>
            <wp:effectExtent b="0" l="0" r="0" t="0"/>
            <wp:docPr descr="Рис. 10: Сканирование порта на наличие уязвимости" title="" id="61" name="Picture"/>
            <a:graphic>
              <a:graphicData uri="http://schemas.openxmlformats.org/drawingml/2006/picture">
                <pic:pic>
                  <pic:nvPicPr>
                    <pic:cNvPr descr="image/1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7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10: Сканирование порта на наличие уязвимости</w:t>
      </w:r>
    </w:p>
    <w:p>
      <w:pPr>
        <w:pStyle w:val="BodyText"/>
      </w:pPr>
      <w:r>
        <w:t xml:space="preserve">Необходимый код для решения задания (рис. 11).</w:t>
      </w:r>
    </w:p>
    <w:p>
      <w:pPr>
        <w:pStyle w:val="CaptionedFigure"/>
      </w:pPr>
      <w:bookmarkStart w:id="67" w:name="fig:011"/>
      <w:r>
        <w:drawing>
          <wp:inline>
            <wp:extent cx="3365500" cy="355600"/>
            <wp:effectExtent b="0" l="0" r="0" t="0"/>
            <wp:docPr descr="Рис. 11: Сканирование порта на наличие уязвимости" title="" id="65" name="Picture"/>
            <a:graphic>
              <a:graphicData uri="http://schemas.openxmlformats.org/drawingml/2006/picture">
                <pic:pic>
                  <pic:nvPicPr>
                    <pic:cNvPr descr="image/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11: Сканирование порта на наличие уязвимости</w:t>
      </w:r>
    </w:p>
    <w:bookmarkEnd w:id="68"/>
    <w:bookmarkEnd w:id="69"/>
    <w:bookmarkStart w:id="7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были успешно выполнены следующие этапы:</w:t>
      </w:r>
      <w:r>
        <w:t xml:space="preserve"> </w:t>
      </w:r>
      <w:r>
        <w:t xml:space="preserve">1. Получен начальный доступ к узлу в DMZ через уязвимость WordPress/Exchange.</w:t>
      </w:r>
      <w:r>
        <w:t xml:space="preserve"> </w:t>
      </w:r>
      <w:r>
        <w:t xml:space="preserve">2. Обнаружен backup-сервер во внутренней сети с помощью ARP- и портового сканирования.</w:t>
      </w:r>
      <w:r>
        <w:t xml:space="preserve"> </w:t>
      </w:r>
      <w:r>
        <w:t xml:space="preserve">3. Эксплуатирована уязвимость MS17-010 для получения полного контроля над backup-сервером.</w:t>
      </w:r>
      <w:r>
        <w:t xml:space="preserve"> </w:t>
      </w:r>
      <w:r>
        <w:t xml:space="preserve">4. Найден и извлечён файл с флагом.</w:t>
      </w:r>
    </w:p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оп лабораторной работе 4</dc:title>
  <dc:creator>Апареев Д.А., Игнатенкова В.Н., Демидович Н.М., Ендонова А.В., Машковцева К.С., Шубнякова Д.И.</dc:creator>
  <dc:language>ru-RU</dc:language>
  <cp:keywords/>
  <dcterms:created xsi:type="dcterms:W3CDTF">2025-12-04T19:58:54Z</dcterms:created>
  <dcterms:modified xsi:type="dcterms:W3CDTF">2025-12-04T19:58:54Z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Title">
    <vt:lpwstr>List of Tables</vt:lpwstr>
  </property>
  <property fmtid="{D5CDD505-2E9C-101B-9397-08002B2CF9AE}" pid="47" name="lstLabels">
    <vt:lpwstr>arabic</vt:lpwstr>
  </property>
  <property fmtid="{D5CDD505-2E9C-101B-9397-08002B2CF9AE}" pid="48" name="lstPrefix">
    <vt:lpwstr/>
  </property>
  <property fmtid="{D5CDD505-2E9C-101B-9397-08002B2CF9AE}" pid="49" name="lstPrefixTemplate">
    <vt:lpwstr>p i</vt:lpwstr>
  </property>
  <property fmtid="{D5CDD505-2E9C-101B-9397-08002B2CF9AE}" pid="50" name="mainfont">
    <vt:lpwstr>IBM Plex Serif</vt:lpwstr>
  </property>
  <property fmtid="{D5CDD505-2E9C-101B-9397-08002B2CF9AE}" pid="51" name="mainfontoptions">
    <vt:lpwstr>Ligatures=Common,Ligatures=TeX,Scale=0.94</vt:lpwstr>
  </property>
  <property fmtid="{D5CDD505-2E9C-101B-9397-08002B2CF9AE}" pid="52" name="mathfont">
    <vt:lpwstr>STIX Two Math</vt:lpwstr>
  </property>
  <property fmtid="{D5CDD505-2E9C-101B-9397-08002B2CF9AE}" pid="53" name="mathfontoptions">
    <vt:lpwstr/>
  </property>
  <property fmtid="{D5CDD505-2E9C-101B-9397-08002B2CF9AE}" pid="54" name="monofont">
    <vt:lpwstr>IBM Plex Mono</vt:lpwstr>
  </property>
  <property fmtid="{D5CDD505-2E9C-101B-9397-08002B2CF9AE}" pid="55" name="monofontoptions">
    <vt:lpwstr>Scale=MatchLowercase,Scale=0.94,FakeStretch=0.9</vt:lpwstr>
  </property>
  <property fmtid="{D5CDD505-2E9C-101B-9397-08002B2CF9AE}" pid="56" name="nameInLink">
    <vt:lpwstr>False</vt:lpwstr>
  </property>
  <property fmtid="{D5CDD505-2E9C-101B-9397-08002B2CF9AE}" pid="57" name="numberSections">
    <vt:lpwstr>False</vt:lpwstr>
  </property>
  <property fmtid="{D5CDD505-2E9C-101B-9397-08002B2CF9AE}" pid="58" name="pairDelim">
    <vt:lpwstr>, </vt:lpwstr>
  </property>
  <property fmtid="{D5CDD505-2E9C-101B-9397-08002B2CF9AE}" pid="59" name="papersize">
    <vt:lpwstr>a4</vt:lpwstr>
  </property>
  <property fmtid="{D5CDD505-2E9C-101B-9397-08002B2CF9AE}" pid="60" name="polyglossia-lang">
    <vt:lpwstr/>
  </property>
  <property fmtid="{D5CDD505-2E9C-101B-9397-08002B2CF9AE}" pid="61" name="polyglossia-otherlangs">
    <vt:lpwstr/>
  </property>
  <property fmtid="{D5CDD505-2E9C-101B-9397-08002B2CF9AE}" pid="62" name="rangeDelim">
    <vt:lpwstr>-</vt:lpwstr>
  </property>
  <property fmtid="{D5CDD505-2E9C-101B-9397-08002B2CF9AE}" pid="63" name="refDelim">
    <vt:lpwstr>, </vt:lpwstr>
  </property>
  <property fmtid="{D5CDD505-2E9C-101B-9397-08002B2CF9AE}" pid="64" name="refIndexTemplate">
    <vt:lpwstr>isuf</vt:lpwstr>
  </property>
  <property fmtid="{D5CDD505-2E9C-101B-9397-08002B2CF9AE}" pid="65" name="romanfont">
    <vt:lpwstr>IBM Plex Serif</vt:lpwstr>
  </property>
  <property fmtid="{D5CDD505-2E9C-101B-9397-08002B2CF9AE}" pid="66" name="romanfontoptions">
    <vt:lpwstr>Ligatures=Common,Ligatures=TeX,Scale=0.94</vt:lpwstr>
  </property>
  <property fmtid="{D5CDD505-2E9C-101B-9397-08002B2CF9AE}" pid="67" name="sansfont">
    <vt:lpwstr>IBM Plex Sans</vt:lpwstr>
  </property>
  <property fmtid="{D5CDD505-2E9C-101B-9397-08002B2CF9AE}" pid="68" name="sansfontoptions">
    <vt:lpwstr>Ligatures=Common,Ligatures=TeX,Scale=MatchLowercase,Scale=0.94</vt:lpwstr>
  </property>
  <property fmtid="{D5CDD505-2E9C-101B-9397-08002B2CF9AE}" pid="69" name="secHeaderDelim">
    <vt:lpwstr> </vt:lpwstr>
  </property>
  <property fmtid="{D5CDD505-2E9C-101B-9397-08002B2CF9AE}" pid="70" name="secHeaderTemplate">
    <vt:lpwstr>isecHeaderDelim[n]t</vt:lpwstr>
  </property>
  <property fmtid="{D5CDD505-2E9C-101B-9397-08002B2CF9AE}" pid="71" name="secLabels">
    <vt:lpwstr>arabic</vt:lpwstr>
  </property>
  <property fmtid="{D5CDD505-2E9C-101B-9397-08002B2CF9AE}" pid="72" name="secPrefix">
    <vt:lpwstr/>
  </property>
  <property fmtid="{D5CDD505-2E9C-101B-9397-08002B2CF9AE}" pid="73" name="secPrefixTemplate">
    <vt:lpwstr>p i</vt:lpwstr>
  </property>
  <property fmtid="{D5CDD505-2E9C-101B-9397-08002B2CF9AE}" pid="74" name="sectionsDepth">
    <vt:lpwstr>0</vt:lpwstr>
  </property>
  <property fmtid="{D5CDD505-2E9C-101B-9397-08002B2CF9AE}" pid="75" name="subfigGrid">
    <vt:lpwstr>False</vt:lpwstr>
  </property>
  <property fmtid="{D5CDD505-2E9C-101B-9397-08002B2CF9AE}" pid="76" name="subfigLabels">
    <vt:lpwstr>alpha a</vt:lpwstr>
  </property>
  <property fmtid="{D5CDD505-2E9C-101B-9397-08002B2CF9AE}" pid="77" name="subfigureChildTemplate">
    <vt:lpwstr>i</vt:lpwstr>
  </property>
  <property fmtid="{D5CDD505-2E9C-101B-9397-08002B2CF9AE}" pid="78" name="subfigureRefIndexTemplate">
    <vt:lpwstr>isuf (s)</vt:lpwstr>
  </property>
  <property fmtid="{D5CDD505-2E9C-101B-9397-08002B2CF9AE}" pid="79" name="subfigureTemplate">
    <vt:lpwstr>figureTitle ititleDelim t. ccs</vt:lpwstr>
  </property>
  <property fmtid="{D5CDD505-2E9C-101B-9397-08002B2CF9AE}" pid="80" name="subtitle">
    <vt:lpwstr>Кибербезопасность предприятия</vt:lpwstr>
  </property>
  <property fmtid="{D5CDD505-2E9C-101B-9397-08002B2CF9AE}" pid="81" name="tableEqns">
    <vt:lpwstr>False</vt:lpwstr>
  </property>
  <property fmtid="{D5CDD505-2E9C-101B-9397-08002B2CF9AE}" pid="82" name="tableTemplate">
    <vt:lpwstr>tableTitle ititleDelim t</vt:lpwstr>
  </property>
  <property fmtid="{D5CDD505-2E9C-101B-9397-08002B2CF9AE}" pid="83" name="tableTitle">
    <vt:lpwstr>Таблица</vt:lpwstr>
  </property>
  <property fmtid="{D5CDD505-2E9C-101B-9397-08002B2CF9AE}" pid="84" name="tblLabels">
    <vt:lpwstr>arabic</vt:lpwstr>
  </property>
  <property fmtid="{D5CDD505-2E9C-101B-9397-08002B2CF9AE}" pid="85" name="tblPrefix">
    <vt:lpwstr/>
  </property>
  <property fmtid="{D5CDD505-2E9C-101B-9397-08002B2CF9AE}" pid="86" name="tblPrefixTemplate">
    <vt:lpwstr>p i</vt:lpwstr>
  </property>
  <property fmtid="{D5CDD505-2E9C-101B-9397-08002B2CF9AE}" pid="87" name="titleDelim">
    <vt:lpwstr>:</vt:lpwstr>
  </property>
  <property fmtid="{D5CDD505-2E9C-101B-9397-08002B2CF9AE}" pid="88" name="toc">
    <vt:lpwstr>True</vt:lpwstr>
  </property>
  <property fmtid="{D5CDD505-2E9C-101B-9397-08002B2CF9AE}" pid="89" name="toc-depth">
    <vt:lpwstr>2</vt:lpwstr>
  </property>
  <property fmtid="{D5CDD505-2E9C-101B-9397-08002B2CF9AE}" pid="90" name="toc-title">
    <vt:lpwstr>Содержание</vt:lpwstr>
  </property>
</Properties>
</file>