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5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оп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16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Машковцева</w:t>
      </w:r>
      <w:r>
        <w:t xml:space="preserve"> </w:t>
      </w:r>
      <w:r>
        <w:t xml:space="preserve">Ксения,</w:t>
      </w:r>
      <w:r>
        <w:t xml:space="preserve"> </w:t>
      </w:r>
      <w:r>
        <w:t xml:space="preserve">НКНбд-01-22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две стратегии обслуживания, сравнить их и выявить лучшую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стратегия - две очереди машин на пропускные пункты или 2 facilities (рис. 1).</w:t>
      </w:r>
    </w:p>
    <w:p>
      <w:pPr>
        <w:pStyle w:val="CaptionedFigure"/>
      </w:pPr>
      <w:bookmarkStart w:id="24" w:name="fig:001"/>
      <w:r>
        <w:drawing>
          <wp:inline>
            <wp:extent cx="5334000" cy="4015483"/>
            <wp:effectExtent b="0" l="0" r="0" t="0"/>
            <wp:docPr descr="Рис. 1: Первая стратегия" title="" id="22" name="Picture"/>
            <a:graphic>
              <a:graphicData uri="http://schemas.openxmlformats.org/drawingml/2006/picture">
                <pic:pic>
                  <pic:nvPicPr>
                    <pic:cNvPr descr="image/lab16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Первая стратегия</w:t>
      </w:r>
    </w:p>
    <w:p>
      <w:pPr>
        <w:pStyle w:val="BodyText"/>
      </w:pPr>
      <w:r>
        <w:t xml:space="preserve">В отчете по первой стратегии мы видим, что среднее время обслуживания составило в каждой из очередей около четырех минут (рис. 2).</w:t>
      </w:r>
    </w:p>
    <w:p>
      <w:pPr>
        <w:pStyle w:val="CaptionedFigure"/>
      </w:pPr>
      <w:bookmarkStart w:id="28" w:name="fig:002"/>
      <w:r>
        <w:drawing>
          <wp:inline>
            <wp:extent cx="5334000" cy="4245672"/>
            <wp:effectExtent b="0" l="0" r="0" t="0"/>
            <wp:docPr descr="Рис. 2: Отчет первой стратегии" title="" id="26" name="Picture"/>
            <a:graphic>
              <a:graphicData uri="http://schemas.openxmlformats.org/drawingml/2006/picture">
                <pic:pic>
                  <pic:nvPicPr>
                    <pic:cNvPr descr="image/lab16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Отчет первой стратегии</w:t>
      </w:r>
    </w:p>
    <w:p>
      <w:pPr>
        <w:pStyle w:val="BodyText"/>
      </w:pPr>
      <w:r>
        <w:t xml:space="preserve">Далее вторая стратегия с одной очередью, в которой машина занимает освободившийся пропускной пункт (рис. 3).</w:t>
      </w:r>
    </w:p>
    <w:p>
      <w:pPr>
        <w:pStyle w:val="CaptionedFigure"/>
      </w:pPr>
      <w:bookmarkStart w:id="32" w:name="fig:003"/>
      <w:r>
        <w:drawing>
          <wp:inline>
            <wp:extent cx="5334000" cy="2798163"/>
            <wp:effectExtent b="0" l="0" r="0" t="0"/>
            <wp:docPr descr="Рис. 3: Вторая стратегия" title="" id="30" name="Picture"/>
            <a:graphic>
              <a:graphicData uri="http://schemas.openxmlformats.org/drawingml/2006/picture">
                <pic:pic>
                  <pic:nvPicPr>
                    <pic:cNvPr descr="image/lab16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Вторая стратегия</w:t>
      </w:r>
    </w:p>
    <w:p>
      <w:pPr>
        <w:pStyle w:val="BodyText"/>
      </w:pPr>
      <w:r>
        <w:t xml:space="preserve">По отчету видно, что было создано меньше машин, но в таблице далее будет очевиднее разница (рис. 4).</w:t>
      </w:r>
    </w:p>
    <w:p>
      <w:pPr>
        <w:pStyle w:val="CaptionedFigure"/>
      </w:pPr>
      <w:bookmarkStart w:id="36" w:name="fig:004"/>
      <w:r>
        <w:drawing>
          <wp:inline>
            <wp:extent cx="5334000" cy="3146922"/>
            <wp:effectExtent b="0" l="0" r="0" t="0"/>
            <wp:docPr descr="Рис. 4: Отчет по второй стратегии" title="" id="34" name="Picture"/>
            <a:graphic>
              <a:graphicData uri="http://schemas.openxmlformats.org/drawingml/2006/picture">
                <pic:pic>
                  <pic:nvPicPr>
                    <pic:cNvPr descr="image/lab16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Отчет по второй стратегии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96"/>
        <w:gridCol w:w="1391"/>
        <w:gridCol w:w="963"/>
        <w:gridCol w:w="1070"/>
        <w:gridCol w:w="1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Далее мы сравниваем количество пропускных пунктов в первой стратегии от 1 до 4 (рис. 5).</w:t>
      </w:r>
    </w:p>
    <w:p>
      <w:pPr>
        <w:pStyle w:val="CaptionedFigure"/>
      </w:pPr>
      <w:bookmarkStart w:id="40" w:name="fig:005"/>
      <w:r>
        <w:drawing>
          <wp:inline>
            <wp:extent cx="5334000" cy="5518207"/>
            <wp:effectExtent b="0" l="0" r="0" t="0"/>
            <wp:docPr descr="Рис. 5: Код для четырех пунктов" title="" id="38" name="Picture"/>
            <a:graphic>
              <a:graphicData uri="http://schemas.openxmlformats.org/drawingml/2006/picture">
                <pic:pic>
                  <pic:nvPicPr>
                    <pic:cNvPr descr="image/lab16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8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Код для четырех пунктов</w:t>
      </w:r>
    </w:p>
    <w:p>
      <w:pPr>
        <w:pStyle w:val="BodyText"/>
      </w:pPr>
      <w:r>
        <w:t xml:space="preserve">Отчет по четырем пропускным пунктам показывает соответствие двум условиям из трех, кроме среднего числа автомобилей на пунктах - оно равно четырем (рис. 6).</w:t>
      </w:r>
    </w:p>
    <w:p>
      <w:pPr>
        <w:pStyle w:val="CaptionedFigure"/>
      </w:pPr>
      <w:bookmarkStart w:id="44" w:name="fig:006"/>
      <w:r>
        <w:drawing>
          <wp:inline>
            <wp:extent cx="5334000" cy="4227195"/>
            <wp:effectExtent b="0" l="0" r="0" t="0"/>
            <wp:docPr descr="Рис. 6: Код для четырех пунктов" title="" id="42" name="Picture"/>
            <a:graphic>
              <a:graphicData uri="http://schemas.openxmlformats.org/drawingml/2006/picture">
                <pic:pic>
                  <pic:nvPicPr>
                    <pic:cNvPr descr="image/lab16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для четырех пунктов</w:t>
      </w:r>
    </w:p>
    <w:p>
      <w:pPr>
        <w:pStyle w:val="BodyText"/>
      </w:pPr>
      <w:r>
        <w:t xml:space="preserve">В отчете по трем пропускным пунктам видно, что среднее время составило примерно четыре минуты, коэффициент загрузки также соответствует условию и главное - число машин на пунктах никак не может превысить трех (рис. 7).</w:t>
      </w:r>
    </w:p>
    <w:p>
      <w:pPr>
        <w:pStyle w:val="CaptionedFigure"/>
      </w:pPr>
      <w:bookmarkStart w:id="48" w:name="fig:007"/>
      <w:r>
        <w:drawing>
          <wp:inline>
            <wp:extent cx="5334000" cy="5313000"/>
            <wp:effectExtent b="0" l="0" r="0" t="0"/>
            <wp:docPr descr="Рис. 7: Код для четырех пунктов" title="" id="46" name="Picture"/>
            <a:graphic>
              <a:graphicData uri="http://schemas.openxmlformats.org/drawingml/2006/picture">
                <pic:pic>
                  <pic:nvPicPr>
                    <pic:cNvPr descr="image/lab160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Код для четырех пунктов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создали две стратегии одной модели с пропускными пунктами, сравнили их и выявили как можно оптимизировать одну из них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5" Target="media/rId45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оп лабораторной работе 16</dc:title>
  <dc:creator>Машковцева Ксения, НКНбд-01-22</dc:creator>
  <dc:language>ru-RU</dc:language>
  <cp:keywords/>
  <dcterms:created xsi:type="dcterms:W3CDTF">2025-05-24T11:50:28Z</dcterms:created>
  <dcterms:modified xsi:type="dcterms:W3CDTF">2025-05-24T11:50:28Z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