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505050"/>
          <w:sz w:val="18"/>
        </w:rPr>
        <w:t>Submitted to the 10th Conference on Robot Learning (CoRL 2026). Do not distribute.</w:t>
      </w:r>
    </w:p>
    <w:p>
      <w:pPr>
        <w:jc w:val="center"/>
      </w:pPr>
      <w:r>
        <w:rPr>
          <w:b/>
          <w:sz w:val="28"/>
        </w:rPr>
        <w:t>When Reconstruction Passes:</w:t>
        <w:br/>
        <w:t>Natural-Language Autoencoders on VLA Activations</w:t>
        <w:br/>
        <w:t>Fail Grounding and Semantic Steering</w:t>
      </w:r>
    </w:p>
    <w:p>
      <w:pPr>
        <w:jc w:val="center"/>
      </w:pPr>
      <w:r>
        <w:rPr>
          <w:sz w:val="20"/>
        </w:rPr>
        <w:t>Anonymous Author(s) | Anonymous Institution | anonymous@domain.com</w:t>
      </w:r>
    </w:p>
    <w:p/>
    <w:p>
      <w:r>
        <w:rPr>
          <w:b/>
        </w:rPr>
        <w:t xml:space="preserve">Abstract. </w:t>
      </w:r>
      <w:r>
        <w:t>Natural-language autoencoders (NLAs) map neural activations to text and back, offering readable interfaces to model internals. We port the NLA recipe to the GR00T vision-language-action (VLA) backbone: extract per-token hidden states, train an activation verbalizer (AV) and reconstructor (AR), and inject AR outputs as live backbone steers in LIBERO simulation. Supervision uses a multimodal teacher (frames + instruction), not human descriptions of what h encodes—a confound inherited from the original LLM setting. We release nla-groot and a three-axis evaluation protocol: (1) offline reconstruction and retrieval, (2) vision-grounded caption judging, (3) closed-loop steer A/B (matched vs. mismatched language). On our main checkpoint, reconstruction metrics pass while grounding, anti-template specificity, and semantic steering fail; aggregate scores hide collapse on image_patch tokens, where retrieval margin is near zero. Claim: NL autoencoders on VLA activations are misleading without vision-grounded and behavioral checks stratified by token role—use this protocol before trusting captions or steering policies with language.</w:t>
      </w:r>
    </w:p>
    <w:p>
      <w:r>
        <w:rPr>
          <w:b/>
        </w:rPr>
        <w:t xml:space="preserve">Keywords: </w:t>
      </w:r>
      <w:r>
        <w:t>vision-language-action models, interpretability, activation steering, robot learning</w:t>
      </w:r>
    </w:p>
    <w:p/>
    <w:p>
      <w:r>
        <w:rPr>
          <w:b/>
        </w:rPr>
        <w:t>Contributions.</w:t>
      </w:r>
    </w:p>
    <w:p>
      <w:pPr>
        <w:pStyle w:val="ListBullet"/>
      </w:pPr>
      <w:r>
        <w:t>Port &amp; tooling: NLA (AV/AR) on GR00T layer-16 activations with live LIBERO steering hooks.</w:t>
      </w:r>
    </w:p>
    <w:p>
      <w:pPr>
        <w:pStyle w:val="ListBullet"/>
      </w:pPr>
      <w:r>
        <w:t>Three-axis scorecard: reconstruction/retrieval, vision-grounded judge, closed-loop steer A/B (Δ_cw).</w:t>
      </w:r>
    </w:p>
    <w:p>
      <w:pPr>
        <w:pStyle w:val="ListBullet"/>
      </w:pPr>
      <w:r>
        <w:t>Negative result: pooled metrics pass while image_patch margin ≈ 0.003, anti-template judge 8.3%, Δ_cw = 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042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420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Metric</w:t>
            </w:r>
          </w:p>
        </w:tc>
        <w:tc>
          <w:tcPr>
            <w:tcW w:type="dxa" w:w="2448"/>
          </w:tcPr>
          <w:p>
            <w:r>
              <w:t>Value</w:t>
            </w:r>
          </w:p>
        </w:tc>
        <w:tc>
          <w:tcPr>
            <w:tcW w:type="dxa" w:w="2448"/>
          </w:tcPr>
          <w:p>
            <w:r>
              <w:t>Thr.</w:t>
            </w:r>
          </w:p>
        </w:tc>
        <w:tc>
          <w:tcPr>
            <w:tcW w:type="dxa" w:w="2448"/>
          </w:tcPr>
          <w:p>
            <w:r>
              <w:t>Verdict</w:t>
            </w:r>
          </w:p>
        </w:tc>
      </w:tr>
      <w:tr>
        <w:tc>
          <w:tcPr>
            <w:tcW w:type="dxa" w:w="2448"/>
          </w:tcPr>
          <w:p>
            <w:r>
              <w:t>retrieval_margin</w:t>
            </w:r>
          </w:p>
        </w:tc>
        <w:tc>
          <w:tcPr>
            <w:tcW w:type="dxa" w:w="2448"/>
          </w:tcPr>
          <w:p>
            <w:r>
              <w:t>0.124</w:t>
            </w:r>
          </w:p>
        </w:tc>
        <w:tc>
          <w:tcPr>
            <w:tcW w:type="dxa" w:w="2448"/>
          </w:tcPr>
          <w:p>
            <w:r>
              <w:t>0.05</w:t>
            </w:r>
          </w:p>
        </w:tc>
        <w:tc>
          <w:tcPr>
            <w:tcW w:type="dxa" w:w="2448"/>
          </w:tcPr>
          <w:p>
            <w:r>
              <w:t>PASS</w:t>
            </w:r>
          </w:p>
        </w:tc>
      </w:tr>
      <w:tr>
        <w:tc>
          <w:tcPr>
            <w:tcW w:type="dxa" w:w="2448"/>
          </w:tcPr>
          <w:p>
            <w:r>
              <w:t>judge_anti_template</w:t>
            </w:r>
          </w:p>
        </w:tc>
        <w:tc>
          <w:tcPr>
            <w:tcW w:type="dxa" w:w="2448"/>
          </w:tcPr>
          <w:p>
            <w:r>
              <w:t>0.083</w:t>
            </w:r>
          </w:p>
        </w:tc>
        <w:tc>
          <w:tcPr>
            <w:tcW w:type="dxa" w:w="2448"/>
          </w:tcPr>
          <w:p>
            <w:r>
              <w:t>0.50</w:t>
            </w:r>
          </w:p>
        </w:tc>
        <w:tc>
          <w:tcPr>
            <w:tcW w:type="dxa" w:w="2448"/>
          </w:tcPr>
          <w:p>
            <w:r>
              <w:t>FAIL</w:t>
            </w:r>
          </w:p>
        </w:tc>
      </w:tr>
      <w:tr>
        <w:tc>
          <w:tcPr>
            <w:tcW w:type="dxa" w:w="2448"/>
          </w:tcPr>
          <w:p>
            <w:r>
              <w:t>sim_correct_minus_wrong</w:t>
            </w:r>
          </w:p>
        </w:tc>
        <w:tc>
          <w:tcPr>
            <w:tcW w:type="dxa" w:w="2448"/>
          </w:tcPr>
          <w:p>
            <w:r>
              <w:t>0.000</w:t>
            </w:r>
          </w:p>
        </w:tc>
        <w:tc>
          <w:tcPr>
            <w:tcW w:type="dxa" w:w="2448"/>
          </w:tcPr>
          <w:p>
            <w:r>
              <w:t>0.05</w:t>
            </w:r>
          </w:p>
        </w:tc>
        <w:tc>
          <w:tcPr>
            <w:tcW w:type="dxa" w:w="2448"/>
          </w:tcPr>
          <w:p>
            <w:r>
              <w:t>WARN</w:t>
            </w:r>
          </w:p>
        </w:tc>
      </w:tr>
      <w:tr>
        <w:tc>
          <w:tcPr>
            <w:tcW w:type="dxa" w:w="2448"/>
          </w:tcPr>
          <w:p>
            <w:r>
              <w:t>image_patch margin</w:t>
            </w:r>
          </w:p>
        </w:tc>
        <w:tc>
          <w:tcPr>
            <w:tcW w:type="dxa" w:w="2448"/>
          </w:tcPr>
          <w:p>
            <w:r>
              <w:t>0.003</w:t>
            </w:r>
          </w:p>
        </w:tc>
        <w:tc>
          <w:tcPr>
            <w:tcW w:type="dxa" w:w="2448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near chance</w:t>
            </w:r>
          </w:p>
        </w:tc>
      </w:tr>
    </w:tbl>
    <w:p/>
    <w:p>
      <w:r>
        <w:rPr>
          <w:b/>
        </w:rPr>
        <w:t xml:space="preserve">Takeaway. </w:t>
      </w:r>
      <w:r>
        <w:t>Reconstruction certifies a text–vector codec, not pixel grounding or semantic steering. Stratify by token role before deploying NL interfaces on VLAs.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